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14D4C" w14:textId="77777777" w:rsidR="00791211" w:rsidRPr="00943216" w:rsidRDefault="00994B05" w:rsidP="00791211">
      <w:pPr>
        <w:pStyle w:val="Puesto"/>
        <w:rPr>
          <w:rFonts w:ascii="Garamond" w:hAnsi="Garamond"/>
          <w:w w:val="105"/>
          <w:szCs w:val="24"/>
          <w:u w:val="none"/>
        </w:rPr>
      </w:pPr>
      <w:r w:rsidRPr="00943216">
        <w:rPr>
          <w:rFonts w:ascii="Garamond" w:hAnsi="Garamond"/>
          <w:w w:val="105"/>
          <w:szCs w:val="24"/>
          <w:u w:val="none"/>
        </w:rPr>
        <w:t xml:space="preserve">INFORME ESPECIAL DE CONTADOR PÚBLICO INDEPENDIENTE </w:t>
      </w:r>
    </w:p>
    <w:p w14:paraId="4C0F7679" w14:textId="5E3D164E" w:rsidR="00994B05" w:rsidRPr="00943216" w:rsidRDefault="00791211" w:rsidP="00791211">
      <w:pPr>
        <w:pStyle w:val="Puesto"/>
        <w:rPr>
          <w:rFonts w:ascii="Garamond" w:hAnsi="Garamond"/>
          <w:w w:val="105"/>
          <w:sz w:val="22"/>
          <w:szCs w:val="22"/>
          <w:u w:val="none"/>
        </w:rPr>
      </w:pPr>
      <w:r w:rsidRPr="00943216">
        <w:rPr>
          <w:rFonts w:ascii="Garamond" w:hAnsi="Garamond"/>
          <w:w w:val="105"/>
          <w:szCs w:val="24"/>
          <w:u w:val="none"/>
        </w:rPr>
        <w:t xml:space="preserve">SOBRE EL CUMPLIMIENTO DE LAS </w:t>
      </w:r>
      <w:r w:rsidR="00456427">
        <w:rPr>
          <w:rFonts w:ascii="Garamond" w:hAnsi="Garamond"/>
          <w:w w:val="105"/>
          <w:szCs w:val="24"/>
          <w:u w:val="none"/>
        </w:rPr>
        <w:t>NORMA</w:t>
      </w:r>
      <w:r w:rsidR="00456427" w:rsidRPr="00456427">
        <w:rPr>
          <w:rFonts w:ascii="Garamond" w:hAnsi="Garamond"/>
          <w:w w:val="105"/>
          <w:szCs w:val="24"/>
          <w:u w:val="none"/>
        </w:rPr>
        <w:t>S DEL BCRA POR PARTE DE LOS PROVEEDORES DE SERVICIOS DE PAGO</w:t>
      </w:r>
      <w:r w:rsidR="00994B05" w:rsidRPr="00943216">
        <w:rPr>
          <w:rStyle w:val="Refdenotaalpie"/>
          <w:rFonts w:ascii="Garamond" w:hAnsi="Garamond" w:cs="Arial"/>
          <w:b w:val="0"/>
          <w:bCs/>
          <w:sz w:val="22"/>
          <w:szCs w:val="22"/>
          <w:u w:val="none"/>
          <w:lang w:eastAsia="en-US"/>
        </w:rPr>
        <w:footnoteReference w:id="1"/>
      </w:r>
    </w:p>
    <w:p w14:paraId="6A07C4C2" w14:textId="77777777" w:rsidR="004D7A67" w:rsidRPr="00943216" w:rsidRDefault="004D7A67">
      <w:pPr>
        <w:pStyle w:val="Textoindependiente"/>
        <w:rPr>
          <w:rFonts w:ascii="Garamond" w:hAnsi="Garamond"/>
          <w:b/>
          <w:sz w:val="22"/>
          <w:szCs w:val="22"/>
        </w:rPr>
      </w:pPr>
    </w:p>
    <w:p w14:paraId="134C806D" w14:textId="6B64D54F" w:rsidR="00994B05" w:rsidRPr="00943216" w:rsidRDefault="00200C64" w:rsidP="00994B05">
      <w:pPr>
        <w:pStyle w:val="Textoindependiente"/>
        <w:rPr>
          <w:rFonts w:ascii="Garamond" w:hAnsi="Garamond"/>
          <w:sz w:val="22"/>
          <w:szCs w:val="22"/>
        </w:rPr>
      </w:pPr>
      <w:r w:rsidRPr="00943216">
        <w:rPr>
          <w:rFonts w:ascii="Garamond" w:hAnsi="Garamond"/>
          <w:sz w:val="22"/>
          <w:szCs w:val="22"/>
        </w:rPr>
        <w:t>Señores…………..</w:t>
      </w:r>
      <w:r w:rsidR="00994B05" w:rsidRPr="00943216">
        <w:rPr>
          <w:rFonts w:ascii="Garamond" w:hAnsi="Garamond"/>
          <w:sz w:val="22"/>
          <w:szCs w:val="22"/>
        </w:rPr>
        <w:t xml:space="preserve"> </w:t>
      </w:r>
      <w:r w:rsidR="00994B05" w:rsidRPr="00943216">
        <w:rPr>
          <w:rStyle w:val="Refdenotaalpie"/>
          <w:rFonts w:ascii="Garamond" w:hAnsi="Garamond"/>
          <w:sz w:val="22"/>
          <w:szCs w:val="22"/>
        </w:rPr>
        <w:footnoteReference w:id="2"/>
      </w:r>
      <w:r w:rsidRPr="00943216">
        <w:rPr>
          <w:rFonts w:ascii="Garamond" w:hAnsi="Garamond"/>
          <w:sz w:val="22"/>
          <w:szCs w:val="22"/>
        </w:rPr>
        <w:t xml:space="preserve"> de XYZ</w:t>
      </w:r>
      <w:r w:rsidR="00994B05" w:rsidRPr="00943216">
        <w:rPr>
          <w:rStyle w:val="Refdenotaalpie"/>
          <w:rFonts w:ascii="Garamond" w:hAnsi="Garamond"/>
          <w:sz w:val="22"/>
          <w:szCs w:val="22"/>
        </w:rPr>
        <w:footnoteReference w:id="3"/>
      </w:r>
    </w:p>
    <w:p w14:paraId="78E79954" w14:textId="3BE6EE81" w:rsidR="00994B05" w:rsidRPr="00943216" w:rsidRDefault="00994B05" w:rsidP="00994B05">
      <w:pPr>
        <w:pStyle w:val="Textoindependiente"/>
        <w:rPr>
          <w:rFonts w:ascii="Garamond" w:hAnsi="Garamond"/>
          <w:sz w:val="22"/>
          <w:szCs w:val="22"/>
        </w:rPr>
      </w:pPr>
      <w:r w:rsidRPr="00943216">
        <w:rPr>
          <w:rFonts w:ascii="Garamond" w:hAnsi="Garamond"/>
          <w:sz w:val="22"/>
          <w:szCs w:val="22"/>
        </w:rPr>
        <w:t>CUIT</w:t>
      </w:r>
      <w:r w:rsidRPr="00943216">
        <w:rPr>
          <w:rFonts w:ascii="Garamond" w:hAnsi="Garamond"/>
          <w:spacing w:val="1"/>
          <w:sz w:val="22"/>
          <w:szCs w:val="22"/>
        </w:rPr>
        <w:t xml:space="preserve"> </w:t>
      </w:r>
      <w:r w:rsidR="00200C64" w:rsidRPr="00943216">
        <w:rPr>
          <w:rFonts w:ascii="Garamond" w:hAnsi="Garamond"/>
          <w:sz w:val="22"/>
          <w:szCs w:val="22"/>
        </w:rPr>
        <w:t>N°:</w:t>
      </w:r>
    </w:p>
    <w:p w14:paraId="67F23382" w14:textId="0AB56964" w:rsidR="00994B05" w:rsidRPr="00943216" w:rsidRDefault="00994B05" w:rsidP="00994B05">
      <w:pPr>
        <w:pStyle w:val="Textoindependiente"/>
        <w:rPr>
          <w:rFonts w:ascii="Garamond" w:hAnsi="Garamond"/>
          <w:sz w:val="22"/>
          <w:szCs w:val="22"/>
        </w:rPr>
      </w:pPr>
      <w:r w:rsidRPr="00943216">
        <w:rPr>
          <w:rFonts w:ascii="Garamond" w:hAnsi="Garamond"/>
          <w:sz w:val="22"/>
          <w:szCs w:val="22"/>
        </w:rPr>
        <w:t>Domicilio</w:t>
      </w:r>
      <w:r w:rsidR="00200C64" w:rsidRPr="00943216">
        <w:rPr>
          <w:rFonts w:ascii="Garamond" w:hAnsi="Garamond"/>
          <w:sz w:val="22"/>
          <w:szCs w:val="22"/>
        </w:rPr>
        <w:t xml:space="preserve"> legal</w:t>
      </w:r>
      <w:r w:rsidRPr="00943216">
        <w:rPr>
          <w:rStyle w:val="Refdenotaalpie"/>
          <w:rFonts w:ascii="Garamond" w:hAnsi="Garamond"/>
          <w:sz w:val="22"/>
          <w:szCs w:val="22"/>
        </w:rPr>
        <w:footnoteReference w:id="4"/>
      </w:r>
      <w:r w:rsidR="00200C64" w:rsidRPr="00943216">
        <w:rPr>
          <w:rFonts w:ascii="Garamond" w:hAnsi="Garamond"/>
          <w:sz w:val="22"/>
          <w:szCs w:val="22"/>
        </w:rPr>
        <w:t>:</w:t>
      </w:r>
    </w:p>
    <w:p w14:paraId="3D0BFA14" w14:textId="77777777" w:rsidR="00200C64" w:rsidRPr="00943216" w:rsidRDefault="00200C64" w:rsidP="00200C64">
      <w:pPr>
        <w:pStyle w:val="Textoindependiente"/>
        <w:rPr>
          <w:rFonts w:ascii="Garamond" w:hAnsi="Garamond"/>
          <w:sz w:val="22"/>
          <w:szCs w:val="22"/>
          <w:lang w:val="es-AR"/>
        </w:rPr>
      </w:pPr>
      <w:r w:rsidRPr="00943216">
        <w:rPr>
          <w:rFonts w:ascii="Garamond" w:hAnsi="Garamond"/>
          <w:sz w:val="22"/>
          <w:szCs w:val="22"/>
          <w:lang w:val="es-AR"/>
        </w:rPr>
        <w:t>Ciudad Autónoma de Buenos Aires</w:t>
      </w:r>
    </w:p>
    <w:p w14:paraId="0F85A0D8" w14:textId="77777777" w:rsidR="00200C64" w:rsidRPr="00943216" w:rsidRDefault="00200C64" w:rsidP="00200C64">
      <w:pPr>
        <w:pBdr>
          <w:top w:val="nil"/>
          <w:left w:val="nil"/>
          <w:bottom w:val="nil"/>
          <w:right w:val="nil"/>
          <w:between w:val="nil"/>
        </w:pBdr>
        <w:tabs>
          <w:tab w:val="left" w:pos="720"/>
        </w:tabs>
        <w:jc w:val="both"/>
        <w:rPr>
          <w:rFonts w:ascii="Garamond" w:eastAsia="Garamond" w:hAnsi="Garamond" w:cs="Garamond"/>
          <w:i/>
          <w:color w:val="000000"/>
        </w:rPr>
      </w:pPr>
      <w:bookmarkStart w:id="0" w:name="_Hlk145354414"/>
      <w:r w:rsidRPr="00943216">
        <w:rPr>
          <w:rFonts w:ascii="Garamond" w:eastAsia="Garamond" w:hAnsi="Garamond" w:cs="Garamond"/>
          <w:i/>
          <w:color w:val="000000"/>
        </w:rPr>
        <w:t>-----------------------</w:t>
      </w:r>
      <w:bookmarkEnd w:id="0"/>
    </w:p>
    <w:p w14:paraId="219C227E" w14:textId="77777777" w:rsidR="004D7A67" w:rsidRPr="00943216" w:rsidRDefault="004D7A67">
      <w:pPr>
        <w:pStyle w:val="Textoindependiente"/>
        <w:rPr>
          <w:rFonts w:ascii="Garamond" w:hAnsi="Garamond"/>
          <w:sz w:val="22"/>
          <w:szCs w:val="22"/>
        </w:rPr>
      </w:pPr>
    </w:p>
    <w:p w14:paraId="5BF651A4" w14:textId="77777777" w:rsidR="00994B05" w:rsidRPr="00943216" w:rsidRDefault="00994B05" w:rsidP="00994B05">
      <w:pPr>
        <w:pStyle w:val="Textoindependiente"/>
        <w:jc w:val="both"/>
        <w:rPr>
          <w:rFonts w:ascii="Garamond" w:hAnsi="Garamond"/>
          <w:b/>
          <w:bCs/>
          <w:sz w:val="22"/>
          <w:szCs w:val="22"/>
        </w:rPr>
      </w:pPr>
      <w:r w:rsidRPr="00943216">
        <w:rPr>
          <w:rFonts w:ascii="Garamond" w:hAnsi="Garamond"/>
          <w:b/>
          <w:bCs/>
          <w:w w:val="105"/>
          <w:sz w:val="22"/>
          <w:szCs w:val="22"/>
        </w:rPr>
        <w:t>Objeto</w:t>
      </w:r>
      <w:r w:rsidRPr="00943216">
        <w:rPr>
          <w:rFonts w:ascii="Garamond" w:hAnsi="Garamond"/>
          <w:b/>
          <w:bCs/>
          <w:spacing w:val="-8"/>
          <w:w w:val="105"/>
          <w:sz w:val="22"/>
          <w:szCs w:val="22"/>
        </w:rPr>
        <w:t xml:space="preserve"> </w:t>
      </w:r>
      <w:r w:rsidRPr="00943216">
        <w:rPr>
          <w:rFonts w:ascii="Garamond" w:hAnsi="Garamond"/>
          <w:b/>
          <w:bCs/>
          <w:w w:val="105"/>
          <w:sz w:val="22"/>
          <w:szCs w:val="22"/>
        </w:rPr>
        <w:t>del</w:t>
      </w:r>
      <w:r w:rsidRPr="00943216">
        <w:rPr>
          <w:rFonts w:ascii="Garamond" w:hAnsi="Garamond"/>
          <w:b/>
          <w:bCs/>
          <w:spacing w:val="-4"/>
          <w:w w:val="105"/>
          <w:sz w:val="22"/>
          <w:szCs w:val="22"/>
        </w:rPr>
        <w:t xml:space="preserve"> </w:t>
      </w:r>
      <w:r w:rsidRPr="00943216">
        <w:rPr>
          <w:rFonts w:ascii="Garamond" w:hAnsi="Garamond"/>
          <w:b/>
          <w:bCs/>
          <w:w w:val="105"/>
          <w:sz w:val="22"/>
          <w:szCs w:val="22"/>
        </w:rPr>
        <w:t>encargo</w:t>
      </w:r>
    </w:p>
    <w:p w14:paraId="27DBD842" w14:textId="77777777" w:rsidR="004D7A67" w:rsidRPr="00943216" w:rsidRDefault="004D7A67">
      <w:pPr>
        <w:pStyle w:val="Textoindependiente"/>
        <w:spacing w:before="11"/>
        <w:rPr>
          <w:rFonts w:ascii="Garamond" w:hAnsi="Garamond"/>
          <w:b/>
          <w:i/>
          <w:sz w:val="22"/>
          <w:szCs w:val="22"/>
        </w:rPr>
      </w:pPr>
    </w:p>
    <w:p w14:paraId="110ACD36" w14:textId="42ABE9F3" w:rsidR="004D7A67" w:rsidRPr="00943216" w:rsidRDefault="00B91156" w:rsidP="00791211">
      <w:pPr>
        <w:pStyle w:val="Textoindependiente"/>
        <w:jc w:val="both"/>
        <w:rPr>
          <w:rFonts w:ascii="Garamond" w:eastAsia="Arial MT" w:hAnsi="Garamond" w:cs="Arial MT"/>
          <w:sz w:val="22"/>
          <w:szCs w:val="22"/>
        </w:rPr>
      </w:pPr>
      <w:r w:rsidRPr="00943216">
        <w:rPr>
          <w:rFonts w:ascii="Garamond" w:eastAsia="Arial MT" w:hAnsi="Garamond" w:cs="Arial MT"/>
          <w:sz w:val="22"/>
          <w:szCs w:val="22"/>
        </w:rPr>
        <w:t>He sido contratado por</w:t>
      </w:r>
      <w:r w:rsidR="00994B05" w:rsidRPr="00943216">
        <w:rPr>
          <w:rFonts w:ascii="Garamond" w:eastAsia="Arial MT" w:hAnsi="Garamond" w:cs="Arial MT"/>
          <w:sz w:val="22"/>
          <w:szCs w:val="22"/>
        </w:rPr>
        <w:t xml:space="preserve"> </w:t>
      </w:r>
      <w:r w:rsidR="00200C64" w:rsidRPr="00943216">
        <w:rPr>
          <w:rFonts w:ascii="Garamond" w:hAnsi="Garamond"/>
          <w:sz w:val="22"/>
          <w:szCs w:val="22"/>
        </w:rPr>
        <w:t>XYZ</w:t>
      </w:r>
      <w:r w:rsidR="00994B05" w:rsidRPr="00943216">
        <w:rPr>
          <w:rFonts w:ascii="Garamond" w:hAnsi="Garamond"/>
          <w:sz w:val="22"/>
          <w:szCs w:val="22"/>
        </w:rPr>
        <w:t xml:space="preserve"> </w:t>
      </w:r>
      <w:r w:rsidRPr="00943216">
        <w:rPr>
          <w:rFonts w:ascii="Garamond" w:eastAsia="Arial MT" w:hAnsi="Garamond" w:cs="Arial MT"/>
          <w:sz w:val="22"/>
          <w:szCs w:val="22"/>
        </w:rPr>
        <w:t>(en adelante “la Sociedad”)</w:t>
      </w:r>
      <w:r w:rsidR="00E15B5B">
        <w:rPr>
          <w:rFonts w:ascii="Garamond" w:eastAsia="Arial MT" w:hAnsi="Garamond" w:cs="Arial MT"/>
          <w:sz w:val="22"/>
          <w:szCs w:val="22"/>
        </w:rPr>
        <w:t xml:space="preserve"> </w:t>
      </w:r>
      <w:r w:rsidR="00E15B5B" w:rsidRPr="00E15B5B">
        <w:rPr>
          <w:rFonts w:ascii="Garamond" w:eastAsia="Arial MT" w:hAnsi="Garamond" w:cs="Arial MT"/>
          <w:sz w:val="22"/>
          <w:szCs w:val="22"/>
        </w:rPr>
        <w:t xml:space="preserve">para emitir un informe </w:t>
      </w:r>
      <w:r w:rsidR="00E15B5B">
        <w:rPr>
          <w:rFonts w:ascii="Garamond" w:eastAsia="Arial MT" w:hAnsi="Garamond" w:cs="Arial MT"/>
          <w:sz w:val="22"/>
          <w:szCs w:val="22"/>
        </w:rPr>
        <w:t xml:space="preserve">especial </w:t>
      </w:r>
      <w:r w:rsidR="00E15B5B" w:rsidRPr="00E15B5B">
        <w:rPr>
          <w:rFonts w:ascii="Garamond" w:eastAsia="Arial MT" w:hAnsi="Garamond" w:cs="Arial MT"/>
          <w:sz w:val="22"/>
          <w:szCs w:val="22"/>
        </w:rPr>
        <w:t>requerido por el Banco Central de la República Argentina (en ad</w:t>
      </w:r>
      <w:r w:rsidR="00E15B5B">
        <w:rPr>
          <w:rFonts w:ascii="Garamond" w:eastAsia="Arial MT" w:hAnsi="Garamond" w:cs="Arial MT"/>
          <w:sz w:val="22"/>
          <w:szCs w:val="22"/>
        </w:rPr>
        <w:t xml:space="preserve">elante “BCRA”), en relación con </w:t>
      </w:r>
      <w:r w:rsidR="00E15B5B" w:rsidRPr="00E15B5B">
        <w:rPr>
          <w:rFonts w:ascii="Garamond" w:eastAsia="Arial MT" w:hAnsi="Garamond" w:cs="Arial MT"/>
          <w:sz w:val="22"/>
          <w:szCs w:val="22"/>
        </w:rPr>
        <w:t xml:space="preserve">el cumplimiento por parte de la Sociedad de las normas en materia de proveedores de servicios de pago, y la información contenida en el Apartado </w:t>
      </w:r>
      <w:r w:rsidR="00E15B5B">
        <w:rPr>
          <w:rFonts w:ascii="Garamond" w:eastAsia="Arial MT" w:hAnsi="Garamond" w:cs="Arial MT"/>
          <w:sz w:val="22"/>
          <w:szCs w:val="22"/>
        </w:rPr>
        <w:t xml:space="preserve">A del Régimen Informativo sobre </w:t>
      </w:r>
      <w:r w:rsidR="00E15B5B" w:rsidRPr="00E15B5B">
        <w:rPr>
          <w:rFonts w:ascii="Garamond" w:eastAsia="Arial MT" w:hAnsi="Garamond" w:cs="Arial MT"/>
          <w:sz w:val="22"/>
          <w:szCs w:val="22"/>
        </w:rPr>
        <w:t xml:space="preserve">“Proveedores de Servicios de Pago que ofrecen cuentas de pago”, durante el período comprendido entre el </w:t>
      </w:r>
      <w:proofErr w:type="gramStart"/>
      <w:r w:rsidR="00E15B5B" w:rsidRPr="00E15B5B">
        <w:rPr>
          <w:rFonts w:ascii="Garamond" w:eastAsia="Arial MT" w:hAnsi="Garamond" w:cs="Arial MT"/>
          <w:sz w:val="22"/>
          <w:szCs w:val="22"/>
        </w:rPr>
        <w:t>..</w:t>
      </w:r>
      <w:proofErr w:type="gramEnd"/>
      <w:r w:rsidR="00E15B5B" w:rsidRPr="00E15B5B">
        <w:rPr>
          <w:rFonts w:ascii="Garamond" w:eastAsia="Arial MT" w:hAnsi="Garamond" w:cs="Arial MT"/>
          <w:sz w:val="22"/>
          <w:szCs w:val="22"/>
        </w:rPr>
        <w:t xml:space="preserve"> </w:t>
      </w:r>
      <w:proofErr w:type="gramStart"/>
      <w:r w:rsidR="00E15B5B" w:rsidRPr="00E15B5B">
        <w:rPr>
          <w:rFonts w:ascii="Garamond" w:eastAsia="Arial MT" w:hAnsi="Garamond" w:cs="Arial MT"/>
          <w:sz w:val="22"/>
          <w:szCs w:val="22"/>
        </w:rPr>
        <w:t>de</w:t>
      </w:r>
      <w:proofErr w:type="gramEnd"/>
      <w:r w:rsidR="00E15B5B" w:rsidRPr="00E15B5B">
        <w:rPr>
          <w:rFonts w:ascii="Garamond" w:eastAsia="Arial MT" w:hAnsi="Garamond" w:cs="Arial MT"/>
          <w:sz w:val="22"/>
          <w:szCs w:val="22"/>
        </w:rPr>
        <w:t xml:space="preserve"> </w:t>
      </w:r>
      <w:r w:rsidR="00E15B5B">
        <w:rPr>
          <w:rFonts w:ascii="Garamond" w:eastAsia="Arial MT" w:hAnsi="Garamond" w:cs="Arial MT"/>
          <w:sz w:val="22"/>
          <w:szCs w:val="22"/>
        </w:rPr>
        <w:t xml:space="preserve">….. </w:t>
      </w:r>
      <w:proofErr w:type="gramStart"/>
      <w:r w:rsidR="00E15B5B">
        <w:rPr>
          <w:rFonts w:ascii="Garamond" w:eastAsia="Arial MT" w:hAnsi="Garamond" w:cs="Arial MT"/>
          <w:sz w:val="22"/>
          <w:szCs w:val="22"/>
        </w:rPr>
        <w:t>de</w:t>
      </w:r>
      <w:proofErr w:type="gramEnd"/>
      <w:r w:rsidR="00E15B5B">
        <w:rPr>
          <w:rFonts w:ascii="Garamond" w:eastAsia="Arial MT" w:hAnsi="Garamond" w:cs="Arial MT"/>
          <w:sz w:val="22"/>
          <w:szCs w:val="22"/>
        </w:rPr>
        <w:t xml:space="preserve"> ….. </w:t>
      </w:r>
      <w:proofErr w:type="gramStart"/>
      <w:r w:rsidR="00E15B5B">
        <w:rPr>
          <w:rFonts w:ascii="Garamond" w:eastAsia="Arial MT" w:hAnsi="Garamond" w:cs="Arial MT"/>
          <w:sz w:val="22"/>
          <w:szCs w:val="22"/>
        </w:rPr>
        <w:t>y</w:t>
      </w:r>
      <w:proofErr w:type="gramEnd"/>
      <w:r w:rsidR="00E15B5B">
        <w:rPr>
          <w:rFonts w:ascii="Garamond" w:eastAsia="Arial MT" w:hAnsi="Garamond" w:cs="Arial MT"/>
          <w:sz w:val="22"/>
          <w:szCs w:val="22"/>
        </w:rPr>
        <w:t xml:space="preserve"> el .. </w:t>
      </w:r>
      <w:proofErr w:type="gramStart"/>
      <w:r w:rsidR="00E15B5B">
        <w:rPr>
          <w:rFonts w:ascii="Garamond" w:eastAsia="Arial MT" w:hAnsi="Garamond" w:cs="Arial MT"/>
          <w:sz w:val="22"/>
          <w:szCs w:val="22"/>
        </w:rPr>
        <w:t>de</w:t>
      </w:r>
      <w:proofErr w:type="gramEnd"/>
      <w:r w:rsidR="00E15B5B">
        <w:rPr>
          <w:rFonts w:ascii="Garamond" w:eastAsia="Arial MT" w:hAnsi="Garamond" w:cs="Arial MT"/>
          <w:sz w:val="22"/>
          <w:szCs w:val="22"/>
        </w:rPr>
        <w:t xml:space="preserve"> ….. </w:t>
      </w:r>
      <w:proofErr w:type="gramStart"/>
      <w:r w:rsidR="00E15B5B">
        <w:rPr>
          <w:rFonts w:ascii="Garamond" w:eastAsia="Arial MT" w:hAnsi="Garamond" w:cs="Arial MT"/>
          <w:sz w:val="22"/>
          <w:szCs w:val="22"/>
        </w:rPr>
        <w:t>de</w:t>
      </w:r>
      <w:proofErr w:type="gramEnd"/>
      <w:r w:rsidR="00E15B5B">
        <w:rPr>
          <w:rFonts w:ascii="Garamond" w:eastAsia="Arial MT" w:hAnsi="Garamond" w:cs="Arial MT"/>
          <w:sz w:val="22"/>
          <w:szCs w:val="22"/>
        </w:rPr>
        <w:t xml:space="preserve"> …. </w:t>
      </w:r>
      <w:r w:rsidRPr="00943216">
        <w:rPr>
          <w:rFonts w:ascii="Garamond" w:eastAsia="Arial MT" w:hAnsi="Garamond" w:cs="Arial MT"/>
          <w:sz w:val="22"/>
          <w:szCs w:val="22"/>
        </w:rPr>
        <w:t>Dicha información ha sido firmada/inicialada por mí para propósitos de identificación solamente, y en adelante, referida como “la Información objeto del encargo”.</w:t>
      </w:r>
    </w:p>
    <w:p w14:paraId="666F394D" w14:textId="77777777" w:rsidR="004D7A67" w:rsidRPr="00943216" w:rsidRDefault="004D7A67">
      <w:pPr>
        <w:pStyle w:val="Textoindependiente"/>
        <w:rPr>
          <w:rFonts w:ascii="Garamond" w:hAnsi="Garamond"/>
          <w:sz w:val="22"/>
          <w:szCs w:val="22"/>
        </w:rPr>
      </w:pPr>
    </w:p>
    <w:p w14:paraId="4E3EDC2B" w14:textId="3A7DF938" w:rsidR="00994B05" w:rsidRPr="00943216" w:rsidRDefault="00D45DE9" w:rsidP="00994B05">
      <w:pPr>
        <w:pStyle w:val="Textoindependiente"/>
        <w:jc w:val="both"/>
        <w:rPr>
          <w:rFonts w:ascii="Garamond" w:hAnsi="Garamond"/>
          <w:b/>
          <w:bCs/>
          <w:w w:val="105"/>
          <w:sz w:val="22"/>
          <w:szCs w:val="22"/>
        </w:rPr>
      </w:pPr>
      <w:r>
        <w:rPr>
          <w:rFonts w:ascii="Garamond" w:hAnsi="Garamond"/>
          <w:b/>
          <w:bCs/>
          <w:w w:val="105"/>
          <w:sz w:val="22"/>
          <w:szCs w:val="22"/>
        </w:rPr>
        <w:t>Responsabilidad</w:t>
      </w:r>
      <w:r w:rsidR="00994B05" w:rsidRPr="00943216">
        <w:rPr>
          <w:rFonts w:ascii="Garamond" w:hAnsi="Garamond"/>
          <w:b/>
          <w:bCs/>
          <w:spacing w:val="-5"/>
          <w:w w:val="105"/>
          <w:sz w:val="22"/>
          <w:szCs w:val="22"/>
        </w:rPr>
        <w:t xml:space="preserve"> </w:t>
      </w:r>
      <w:r w:rsidR="00994B05" w:rsidRPr="00943216">
        <w:rPr>
          <w:rFonts w:ascii="Garamond" w:hAnsi="Garamond"/>
          <w:b/>
          <w:bCs/>
          <w:w w:val="105"/>
          <w:sz w:val="22"/>
          <w:szCs w:val="22"/>
        </w:rPr>
        <w:t>de</w:t>
      </w:r>
      <w:r w:rsidR="00994B05" w:rsidRPr="00943216">
        <w:rPr>
          <w:rFonts w:ascii="Garamond" w:hAnsi="Garamond"/>
          <w:b/>
          <w:bCs/>
          <w:spacing w:val="-8"/>
          <w:w w:val="105"/>
          <w:sz w:val="22"/>
          <w:szCs w:val="22"/>
        </w:rPr>
        <w:t xml:space="preserve"> </w:t>
      </w:r>
      <w:r w:rsidR="00994B05" w:rsidRPr="00943216">
        <w:rPr>
          <w:rFonts w:ascii="Garamond" w:hAnsi="Garamond"/>
          <w:b/>
          <w:bCs/>
          <w:w w:val="105"/>
          <w:sz w:val="22"/>
          <w:szCs w:val="22"/>
        </w:rPr>
        <w:t>la</w:t>
      </w:r>
      <w:r w:rsidR="00994B05" w:rsidRPr="00943216">
        <w:rPr>
          <w:rFonts w:ascii="Garamond" w:hAnsi="Garamond"/>
          <w:b/>
          <w:bCs/>
          <w:spacing w:val="-5"/>
          <w:w w:val="105"/>
          <w:sz w:val="22"/>
          <w:szCs w:val="22"/>
        </w:rPr>
        <w:t xml:space="preserve"> </w:t>
      </w:r>
      <w:r w:rsidR="00994B05" w:rsidRPr="00943216">
        <w:rPr>
          <w:rFonts w:ascii="Garamond" w:hAnsi="Garamond"/>
          <w:b/>
          <w:bCs/>
          <w:w w:val="105"/>
          <w:sz w:val="22"/>
          <w:szCs w:val="22"/>
        </w:rPr>
        <w:t>Dirección</w:t>
      </w:r>
      <w:r w:rsidR="00994B05" w:rsidRPr="00943216">
        <w:rPr>
          <w:rStyle w:val="Refdenotaalpie"/>
          <w:rFonts w:ascii="Garamond" w:hAnsi="Garamond"/>
          <w:sz w:val="22"/>
          <w:szCs w:val="22"/>
        </w:rPr>
        <w:footnoteReference w:id="5"/>
      </w:r>
      <w:r w:rsidR="00E15B5B">
        <w:rPr>
          <w:rFonts w:ascii="Garamond" w:hAnsi="Garamond"/>
          <w:b/>
          <w:bCs/>
          <w:w w:val="105"/>
          <w:sz w:val="22"/>
          <w:szCs w:val="22"/>
        </w:rPr>
        <w:t xml:space="preserve"> de la Sociedad</w:t>
      </w:r>
    </w:p>
    <w:p w14:paraId="306A5A63" w14:textId="77777777" w:rsidR="00E15B5B" w:rsidRDefault="00E15B5B" w:rsidP="0072720B">
      <w:pPr>
        <w:pStyle w:val="Textoindependiente"/>
        <w:jc w:val="both"/>
        <w:rPr>
          <w:rFonts w:ascii="Garamond" w:eastAsia="Arial MT" w:hAnsi="Garamond" w:cs="Arial MT"/>
          <w:w w:val="105"/>
          <w:sz w:val="22"/>
          <w:szCs w:val="22"/>
        </w:rPr>
      </w:pPr>
    </w:p>
    <w:p w14:paraId="7B1A4840" w14:textId="4085BA23" w:rsidR="00E15B5B" w:rsidRDefault="00E15B5B" w:rsidP="00E15B5B">
      <w:pPr>
        <w:pStyle w:val="Textoindependiente"/>
        <w:jc w:val="both"/>
        <w:rPr>
          <w:rFonts w:ascii="Garamond" w:eastAsia="Arial MT" w:hAnsi="Garamond" w:cs="Arial MT"/>
          <w:w w:val="105"/>
          <w:sz w:val="22"/>
          <w:szCs w:val="22"/>
        </w:rPr>
      </w:pPr>
      <w:r w:rsidRPr="00E15B5B">
        <w:rPr>
          <w:rFonts w:ascii="Garamond" w:eastAsia="Arial MT" w:hAnsi="Garamond" w:cs="Arial MT"/>
          <w:w w:val="105"/>
          <w:sz w:val="22"/>
          <w:szCs w:val="22"/>
        </w:rPr>
        <w:t>La Dirección de la Sociedad es responsable del cumplim</w:t>
      </w:r>
      <w:r>
        <w:rPr>
          <w:rFonts w:ascii="Garamond" w:eastAsia="Arial MT" w:hAnsi="Garamond" w:cs="Arial MT"/>
          <w:w w:val="105"/>
          <w:sz w:val="22"/>
          <w:szCs w:val="22"/>
        </w:rPr>
        <w:t xml:space="preserve">iento de las normas del BCRA en </w:t>
      </w:r>
      <w:r w:rsidRPr="00E15B5B">
        <w:rPr>
          <w:rFonts w:ascii="Garamond" w:eastAsia="Arial MT" w:hAnsi="Garamond" w:cs="Arial MT"/>
          <w:w w:val="105"/>
          <w:sz w:val="22"/>
          <w:szCs w:val="22"/>
        </w:rPr>
        <w:t>la materia, y de la preparación y presentación de la información ob</w:t>
      </w:r>
      <w:r>
        <w:rPr>
          <w:rFonts w:ascii="Garamond" w:eastAsia="Arial MT" w:hAnsi="Garamond" w:cs="Arial MT"/>
          <w:w w:val="105"/>
          <w:sz w:val="22"/>
          <w:szCs w:val="22"/>
        </w:rPr>
        <w:t xml:space="preserve">jeto del encargo, de acuerdo con lo </w:t>
      </w:r>
      <w:r w:rsidRPr="00E15B5B">
        <w:rPr>
          <w:rFonts w:ascii="Garamond" w:eastAsia="Arial MT" w:hAnsi="Garamond" w:cs="Arial MT"/>
          <w:w w:val="105"/>
          <w:sz w:val="22"/>
          <w:szCs w:val="22"/>
        </w:rPr>
        <w:t xml:space="preserve">requerido por las </w:t>
      </w:r>
      <w:r>
        <w:rPr>
          <w:rFonts w:ascii="Garamond" w:eastAsia="Arial MT" w:hAnsi="Garamond" w:cs="Arial MT"/>
          <w:w w:val="105"/>
          <w:sz w:val="22"/>
          <w:szCs w:val="22"/>
        </w:rPr>
        <w:t>normas establecidas por el BCRA</w:t>
      </w:r>
      <w:r w:rsidRPr="00E15B5B">
        <w:rPr>
          <w:rFonts w:ascii="Garamond" w:eastAsia="Arial MT" w:hAnsi="Garamond" w:cs="Arial MT"/>
          <w:w w:val="105"/>
          <w:sz w:val="22"/>
          <w:szCs w:val="22"/>
        </w:rPr>
        <w:t>.</w:t>
      </w:r>
    </w:p>
    <w:p w14:paraId="4E5C60F8" w14:textId="6542A24F" w:rsidR="0072720B" w:rsidRPr="00943216" w:rsidRDefault="0072720B" w:rsidP="0072720B">
      <w:pPr>
        <w:pStyle w:val="Textoindependiente"/>
        <w:spacing w:before="7"/>
        <w:jc w:val="both"/>
        <w:rPr>
          <w:rFonts w:ascii="Garamond" w:eastAsia="Arial MT" w:hAnsi="Garamond" w:cs="Arial MT"/>
          <w:w w:val="105"/>
          <w:sz w:val="22"/>
          <w:szCs w:val="22"/>
        </w:rPr>
      </w:pPr>
    </w:p>
    <w:p w14:paraId="0719DB63" w14:textId="4FCD0931" w:rsidR="0072720B" w:rsidRPr="00943216" w:rsidRDefault="0072720B" w:rsidP="0072720B">
      <w:pPr>
        <w:pStyle w:val="Textoindependiente"/>
        <w:spacing w:before="7"/>
        <w:jc w:val="both"/>
        <w:rPr>
          <w:rFonts w:ascii="Garamond" w:eastAsia="Arial MT" w:hAnsi="Garamond" w:cs="Arial MT"/>
          <w:w w:val="105"/>
          <w:sz w:val="22"/>
          <w:szCs w:val="22"/>
        </w:rPr>
      </w:pPr>
      <w:r w:rsidRPr="00943216">
        <w:rPr>
          <w:rFonts w:ascii="Garamond" w:eastAsia="Arial MT" w:hAnsi="Garamond" w:cs="Arial MT"/>
          <w:w w:val="105"/>
          <w:sz w:val="22"/>
          <w:szCs w:val="22"/>
        </w:rPr>
        <w:t xml:space="preserve">Asimismo, la Dirección de la Sociedad es responsable de establecer y mantener un sistema de control interno adecuado que incluya el cumplimiento de las normas del BCRA en materia de Proveedores </w:t>
      </w:r>
      <w:r w:rsidR="00456427">
        <w:rPr>
          <w:rFonts w:ascii="Garamond" w:eastAsia="Arial MT" w:hAnsi="Garamond" w:cs="Arial MT"/>
          <w:w w:val="105"/>
          <w:sz w:val="22"/>
          <w:szCs w:val="22"/>
        </w:rPr>
        <w:t>de servicios de pago</w:t>
      </w:r>
      <w:r w:rsidRPr="00943216">
        <w:rPr>
          <w:rFonts w:ascii="Garamond" w:eastAsia="Arial MT" w:hAnsi="Garamond" w:cs="Arial MT"/>
          <w:w w:val="105"/>
          <w:sz w:val="22"/>
          <w:szCs w:val="22"/>
        </w:rPr>
        <w:t xml:space="preserve">. Debido a las limitaciones inherentes a cualquier sistema de control interno, es posible que ocurran errores o irregularidades y que éstos no sean detectados. Además, la proyección de cualquier evaluación del sistema hacia períodos futuros está sujeta al riesgo que los procedimientos se tornen inadecuados debido a cambios en las condiciones, o que el grado de cumplimiento de los procedimientos se deteriore, por lo que deberá prestarse debida atención al mantenimiento de procedimientos actualizados y adecuados a las circunstancias.  </w:t>
      </w:r>
    </w:p>
    <w:p w14:paraId="06022781" w14:textId="77777777" w:rsidR="0072720B" w:rsidRPr="00943216" w:rsidRDefault="0072720B">
      <w:pPr>
        <w:pStyle w:val="Textoindependiente"/>
        <w:spacing w:before="7"/>
        <w:rPr>
          <w:rFonts w:ascii="Garamond" w:hAnsi="Garamond"/>
          <w:sz w:val="22"/>
          <w:szCs w:val="22"/>
        </w:rPr>
      </w:pPr>
    </w:p>
    <w:p w14:paraId="36E2B47E" w14:textId="77777777" w:rsidR="00994B05" w:rsidRPr="00943216" w:rsidRDefault="00994B05" w:rsidP="00994B05">
      <w:pPr>
        <w:pStyle w:val="Textoindependiente"/>
        <w:jc w:val="both"/>
        <w:rPr>
          <w:rFonts w:ascii="Garamond" w:hAnsi="Garamond"/>
          <w:b/>
          <w:bCs/>
          <w:w w:val="105"/>
          <w:sz w:val="22"/>
          <w:szCs w:val="22"/>
        </w:rPr>
      </w:pPr>
      <w:r w:rsidRPr="00943216">
        <w:rPr>
          <w:rFonts w:ascii="Garamond" w:hAnsi="Garamond"/>
          <w:b/>
          <w:bCs/>
          <w:w w:val="105"/>
          <w:sz w:val="22"/>
          <w:szCs w:val="22"/>
        </w:rPr>
        <w:t>Responsabilidad</w:t>
      </w:r>
      <w:r w:rsidRPr="00943216">
        <w:rPr>
          <w:rFonts w:ascii="Garamond" w:hAnsi="Garamond"/>
          <w:b/>
          <w:bCs/>
          <w:spacing w:val="-8"/>
          <w:w w:val="105"/>
          <w:sz w:val="22"/>
          <w:szCs w:val="22"/>
        </w:rPr>
        <w:t xml:space="preserve"> </w:t>
      </w:r>
      <w:r w:rsidRPr="00943216">
        <w:rPr>
          <w:rFonts w:ascii="Garamond" w:hAnsi="Garamond"/>
          <w:b/>
          <w:bCs/>
          <w:w w:val="105"/>
          <w:sz w:val="22"/>
          <w:szCs w:val="22"/>
        </w:rPr>
        <w:t>del</w:t>
      </w:r>
      <w:r w:rsidRPr="00943216">
        <w:rPr>
          <w:rFonts w:ascii="Garamond" w:hAnsi="Garamond"/>
          <w:b/>
          <w:bCs/>
          <w:spacing w:val="-8"/>
          <w:w w:val="105"/>
          <w:sz w:val="22"/>
          <w:szCs w:val="22"/>
        </w:rPr>
        <w:t xml:space="preserve"> </w:t>
      </w:r>
      <w:r w:rsidRPr="00943216">
        <w:rPr>
          <w:rFonts w:ascii="Garamond" w:hAnsi="Garamond"/>
          <w:b/>
          <w:bCs/>
          <w:w w:val="105"/>
          <w:sz w:val="22"/>
          <w:szCs w:val="22"/>
        </w:rPr>
        <w:t>Contador</w:t>
      </w:r>
      <w:r w:rsidRPr="00943216">
        <w:rPr>
          <w:rFonts w:ascii="Garamond" w:hAnsi="Garamond"/>
          <w:b/>
          <w:bCs/>
          <w:spacing w:val="-11"/>
          <w:w w:val="105"/>
          <w:sz w:val="22"/>
          <w:szCs w:val="22"/>
        </w:rPr>
        <w:t xml:space="preserve"> P</w:t>
      </w:r>
      <w:r w:rsidRPr="00943216">
        <w:rPr>
          <w:rFonts w:ascii="Garamond" w:hAnsi="Garamond"/>
          <w:b/>
          <w:bCs/>
          <w:w w:val="105"/>
          <w:sz w:val="22"/>
          <w:szCs w:val="22"/>
        </w:rPr>
        <w:t>úblico Independiente</w:t>
      </w:r>
    </w:p>
    <w:p w14:paraId="6E45CFEF" w14:textId="77777777" w:rsidR="004D7A67" w:rsidRPr="00943216" w:rsidRDefault="004D7A67">
      <w:pPr>
        <w:pStyle w:val="Textoindependiente"/>
        <w:spacing w:before="2"/>
        <w:rPr>
          <w:rFonts w:ascii="Garamond" w:hAnsi="Garamond"/>
          <w:b/>
          <w:i/>
          <w:sz w:val="22"/>
          <w:szCs w:val="22"/>
        </w:rPr>
      </w:pPr>
    </w:p>
    <w:p w14:paraId="2BAC5E4E" w14:textId="5D5FB756" w:rsidR="0072720B" w:rsidRPr="00943216" w:rsidRDefault="00B91156" w:rsidP="0072720B">
      <w:pPr>
        <w:pStyle w:val="Textoindependiente"/>
        <w:jc w:val="both"/>
        <w:rPr>
          <w:rFonts w:ascii="Garamond" w:eastAsia="Arial MT" w:hAnsi="Garamond" w:cs="Arial MT"/>
          <w:w w:val="105"/>
          <w:sz w:val="22"/>
          <w:szCs w:val="22"/>
        </w:rPr>
      </w:pPr>
      <w:r w:rsidRPr="00943216">
        <w:rPr>
          <w:rFonts w:ascii="Garamond" w:eastAsia="Arial MT" w:hAnsi="Garamond" w:cs="Arial MT"/>
          <w:w w:val="105"/>
          <w:sz w:val="22"/>
          <w:szCs w:val="22"/>
        </w:rPr>
        <w:t>Mi responsabilidad consiste en la emisión del presente informe especial, basado en mi tarea profesional, que se detalla en el párrafo siguiente, para cumplir con los requerimientos de la Comunicación “A” 7</w:t>
      </w:r>
      <w:r w:rsidR="00456427">
        <w:rPr>
          <w:rFonts w:ascii="Garamond" w:eastAsia="Arial MT" w:hAnsi="Garamond" w:cs="Arial MT"/>
          <w:w w:val="105"/>
          <w:sz w:val="22"/>
          <w:szCs w:val="22"/>
        </w:rPr>
        <w:t>972</w:t>
      </w:r>
      <w:r w:rsidRPr="00943216">
        <w:rPr>
          <w:rFonts w:ascii="Garamond" w:eastAsia="Arial MT" w:hAnsi="Garamond" w:cs="Arial MT"/>
          <w:w w:val="105"/>
          <w:sz w:val="22"/>
          <w:szCs w:val="22"/>
        </w:rPr>
        <w:t xml:space="preserve"> del BCRA.</w:t>
      </w:r>
      <w:r w:rsidR="0072720B" w:rsidRPr="00943216">
        <w:rPr>
          <w:rFonts w:ascii="Garamond" w:eastAsia="Arial MT" w:hAnsi="Garamond" w:cs="Arial MT"/>
          <w:w w:val="105"/>
          <w:sz w:val="22"/>
          <w:szCs w:val="22"/>
        </w:rPr>
        <w:t xml:space="preserve"> Soy independiente de XYZ y he cumplido las demás responsabilidades de ética de conformidad con los requerimientos del Código de Ética del Consejo Profesional de Ciencias Económicas de la Ciudad Autónoma de Buenos Aires (CPCECABA) y de la Resolución Técnica N° 37 de la Federación Argentina de Consejos Profesionales de Ciencias Económicas (FACPCE), adoptada por la Resolución C.D. Nº 46/2021 del CPCECABA.</w:t>
      </w:r>
    </w:p>
    <w:p w14:paraId="508812C3" w14:textId="77777777" w:rsidR="004D7A67" w:rsidRPr="00943216" w:rsidRDefault="004D7A67">
      <w:pPr>
        <w:pStyle w:val="Textoindependiente"/>
        <w:rPr>
          <w:rFonts w:ascii="Garamond" w:hAnsi="Garamond"/>
          <w:sz w:val="22"/>
          <w:szCs w:val="22"/>
        </w:rPr>
      </w:pPr>
    </w:p>
    <w:p w14:paraId="5F48BEAC" w14:textId="77777777" w:rsidR="0085295C" w:rsidRPr="00943216" w:rsidRDefault="0085295C" w:rsidP="0085295C">
      <w:pPr>
        <w:pStyle w:val="Textoindependiente"/>
        <w:jc w:val="both"/>
        <w:rPr>
          <w:rFonts w:ascii="Garamond" w:hAnsi="Garamond"/>
          <w:b/>
          <w:bCs/>
          <w:w w:val="105"/>
          <w:sz w:val="22"/>
          <w:szCs w:val="22"/>
        </w:rPr>
      </w:pPr>
      <w:r w:rsidRPr="00943216">
        <w:rPr>
          <w:rFonts w:ascii="Garamond" w:hAnsi="Garamond"/>
          <w:b/>
          <w:bCs/>
          <w:w w:val="105"/>
          <w:sz w:val="22"/>
          <w:szCs w:val="22"/>
        </w:rPr>
        <w:t>Tarea</w:t>
      </w:r>
      <w:r w:rsidRPr="00943216">
        <w:rPr>
          <w:rFonts w:ascii="Garamond" w:hAnsi="Garamond"/>
          <w:b/>
          <w:bCs/>
          <w:spacing w:val="-7"/>
          <w:w w:val="105"/>
          <w:sz w:val="22"/>
          <w:szCs w:val="22"/>
        </w:rPr>
        <w:t xml:space="preserve"> </w:t>
      </w:r>
      <w:r w:rsidRPr="00943216">
        <w:rPr>
          <w:rFonts w:ascii="Garamond" w:hAnsi="Garamond"/>
          <w:b/>
          <w:bCs/>
          <w:w w:val="105"/>
          <w:sz w:val="22"/>
          <w:szCs w:val="22"/>
        </w:rPr>
        <w:t>profesional</w:t>
      </w:r>
    </w:p>
    <w:p w14:paraId="55F693FC" w14:textId="77777777" w:rsidR="004D7A67" w:rsidRPr="00943216" w:rsidRDefault="004D7A67">
      <w:pPr>
        <w:pStyle w:val="Textoindependiente"/>
        <w:spacing w:before="10"/>
        <w:rPr>
          <w:rFonts w:ascii="Garamond" w:hAnsi="Garamond"/>
          <w:b/>
          <w:i/>
          <w:sz w:val="22"/>
          <w:szCs w:val="22"/>
        </w:rPr>
      </w:pPr>
    </w:p>
    <w:p w14:paraId="7C213D4D" w14:textId="5DD519FD" w:rsidR="0072720B" w:rsidRPr="00943216" w:rsidRDefault="00B91156" w:rsidP="0072720B">
      <w:pPr>
        <w:pStyle w:val="Textoindependiente"/>
        <w:jc w:val="both"/>
        <w:rPr>
          <w:rFonts w:ascii="Garamond" w:hAnsi="Garamond"/>
          <w:w w:val="105"/>
          <w:sz w:val="22"/>
          <w:szCs w:val="22"/>
        </w:rPr>
      </w:pPr>
      <w:r w:rsidRPr="00943216">
        <w:rPr>
          <w:rFonts w:ascii="Garamond" w:eastAsia="Arial MT" w:hAnsi="Garamond" w:cs="Arial MT"/>
          <w:w w:val="105"/>
          <w:sz w:val="22"/>
          <w:szCs w:val="22"/>
        </w:rPr>
        <w:t>Mi tarea profesional fue desarrollada de conformidad con las normas sobre informes especiales establecidas en la sección VII.C de la Resolución Técnica N° 37 de la Federación Argentina de Consejos Profesionales de Ciencias Económicas (RT 37)</w:t>
      </w:r>
      <w:r w:rsidR="0072720B" w:rsidRPr="00943216">
        <w:rPr>
          <w:rFonts w:ascii="Garamond" w:eastAsia="Arial MT" w:hAnsi="Garamond" w:cs="Arial MT"/>
          <w:w w:val="105"/>
          <w:sz w:val="22"/>
          <w:szCs w:val="22"/>
        </w:rPr>
        <w:t>,</w:t>
      </w:r>
      <w:r w:rsidR="0085295C" w:rsidRPr="00943216">
        <w:rPr>
          <w:rFonts w:ascii="Garamond" w:eastAsia="Arial MT" w:hAnsi="Garamond" w:cs="Arial MT"/>
          <w:w w:val="105"/>
          <w:sz w:val="22"/>
          <w:szCs w:val="22"/>
        </w:rPr>
        <w:t xml:space="preserve"> </w:t>
      </w:r>
      <w:r w:rsidR="0085295C" w:rsidRPr="00943216">
        <w:rPr>
          <w:rFonts w:ascii="Garamond" w:hAnsi="Garamond"/>
          <w:w w:val="105"/>
          <w:sz w:val="22"/>
          <w:szCs w:val="22"/>
        </w:rPr>
        <w:t>adopt</w:t>
      </w:r>
      <w:r w:rsidR="006C7FBF" w:rsidRPr="00943216">
        <w:rPr>
          <w:rFonts w:ascii="Garamond" w:hAnsi="Garamond"/>
          <w:w w:val="105"/>
          <w:sz w:val="22"/>
          <w:szCs w:val="22"/>
        </w:rPr>
        <w:t>ada por la Resolución C.D. Nº 46/2021</w:t>
      </w:r>
      <w:r w:rsidR="0085295C" w:rsidRPr="00943216">
        <w:rPr>
          <w:rFonts w:ascii="Garamond" w:hAnsi="Garamond"/>
          <w:w w:val="105"/>
          <w:sz w:val="22"/>
          <w:szCs w:val="22"/>
        </w:rPr>
        <w:t xml:space="preserve"> del Consejo Profesional de Ciencias Económicas de la </w:t>
      </w:r>
      <w:r w:rsidR="0072720B" w:rsidRPr="00943216">
        <w:rPr>
          <w:rFonts w:ascii="Garamond" w:hAnsi="Garamond"/>
          <w:w w:val="105"/>
          <w:sz w:val="22"/>
          <w:szCs w:val="22"/>
        </w:rPr>
        <w:t>Ciudad Autónoma de Buenos Aires y consistió en la aplicación de ciertos procedimientos</w:t>
      </w:r>
      <w:r w:rsidR="00943216">
        <w:rPr>
          <w:rFonts w:ascii="Garamond" w:hAnsi="Garamond"/>
          <w:w w:val="105"/>
          <w:sz w:val="22"/>
          <w:szCs w:val="22"/>
        </w:rPr>
        <w:t xml:space="preserve"> </w:t>
      </w:r>
      <w:r w:rsidR="0072720B" w:rsidRPr="00943216">
        <w:rPr>
          <w:rFonts w:ascii="Garamond" w:hAnsi="Garamond"/>
          <w:w w:val="105"/>
          <w:sz w:val="22"/>
          <w:szCs w:val="22"/>
        </w:rPr>
        <w:t>necesarios para verificar el cumplimiento por parte de la Sociedad de los requerimientos del BCRA en relación con las normas sobre “Proveedores</w:t>
      </w:r>
      <w:r w:rsidR="00456427">
        <w:rPr>
          <w:rFonts w:ascii="Garamond" w:hAnsi="Garamond"/>
          <w:w w:val="105"/>
          <w:sz w:val="22"/>
          <w:szCs w:val="22"/>
        </w:rPr>
        <w:t xml:space="preserve"> de servicios de pago</w:t>
      </w:r>
      <w:r w:rsidR="0072720B" w:rsidRPr="00943216">
        <w:rPr>
          <w:rFonts w:ascii="Garamond" w:hAnsi="Garamond"/>
          <w:w w:val="105"/>
          <w:sz w:val="22"/>
          <w:szCs w:val="22"/>
        </w:rPr>
        <w:t>”</w:t>
      </w:r>
      <w:r w:rsidR="00D45DE9">
        <w:rPr>
          <w:rFonts w:ascii="Garamond" w:hAnsi="Garamond"/>
          <w:w w:val="105"/>
          <w:sz w:val="22"/>
          <w:szCs w:val="22"/>
        </w:rPr>
        <w:t xml:space="preserve"> según el Anexo I</w:t>
      </w:r>
      <w:r w:rsidR="0072720B" w:rsidRPr="00943216">
        <w:rPr>
          <w:rFonts w:ascii="Garamond" w:hAnsi="Garamond"/>
          <w:w w:val="105"/>
          <w:sz w:val="22"/>
          <w:szCs w:val="22"/>
        </w:rPr>
        <w:t xml:space="preserve">. La RT 37 exige que cumpla los </w:t>
      </w:r>
      <w:r w:rsidR="0072720B" w:rsidRPr="00943216">
        <w:rPr>
          <w:rFonts w:ascii="Garamond" w:hAnsi="Garamond"/>
          <w:w w:val="105"/>
          <w:sz w:val="22"/>
          <w:szCs w:val="22"/>
        </w:rPr>
        <w:lastRenderedPageBreak/>
        <w:t xml:space="preserve">requerimientos de ética, así como que planifique y ejecute mi tarea de tal forma que me permita emitir el presente informe especial. </w:t>
      </w:r>
    </w:p>
    <w:p w14:paraId="504C06C8" w14:textId="04B0F30E" w:rsidR="0072720B" w:rsidRPr="00943216" w:rsidRDefault="0072720B" w:rsidP="0085295C">
      <w:pPr>
        <w:pStyle w:val="Textoindependiente"/>
        <w:jc w:val="both"/>
        <w:rPr>
          <w:rFonts w:ascii="Garamond" w:hAnsi="Garamond"/>
          <w:w w:val="105"/>
          <w:sz w:val="22"/>
          <w:szCs w:val="22"/>
        </w:rPr>
      </w:pPr>
      <w:r w:rsidRPr="00943216">
        <w:rPr>
          <w:rFonts w:ascii="Garamond" w:hAnsi="Garamond"/>
          <w:w w:val="105"/>
          <w:sz w:val="22"/>
          <w:szCs w:val="22"/>
        </w:rPr>
        <w:t xml:space="preserve"> </w:t>
      </w:r>
    </w:p>
    <w:p w14:paraId="392EB622" w14:textId="2350E5A5" w:rsidR="004D7A67" w:rsidRDefault="00B91156" w:rsidP="0085295C">
      <w:pPr>
        <w:pStyle w:val="Textoindependiente"/>
        <w:jc w:val="both"/>
        <w:rPr>
          <w:rFonts w:ascii="Garamond" w:eastAsia="Arial MT" w:hAnsi="Garamond" w:cs="Arial MT"/>
          <w:w w:val="105"/>
          <w:sz w:val="22"/>
          <w:szCs w:val="22"/>
        </w:rPr>
      </w:pPr>
      <w:r w:rsidRPr="00943216">
        <w:rPr>
          <w:rFonts w:ascii="Garamond" w:eastAsia="Arial MT" w:hAnsi="Garamond" w:cs="Arial MT"/>
          <w:w w:val="105"/>
          <w:sz w:val="22"/>
          <w:szCs w:val="22"/>
        </w:rPr>
        <w:t>En un encargo para emitir un informe especial, el contador aplica una serie de procedimientos para verificar el cumplimiento por parte de la entidad de determinados requerimientos del organismo de control, y se limita a dar una manifestación de hallazgos sobre la base de los resultados obtenidos de esos procedimientos. Este servicio mejora la confiabilidad de la información objeto del encargo, al estar acompañada por una manifestación profesional independiente que es diferente de la de los encargos de aseguramiento incluidos en los capítulos III, IV y V de la RT 37.</w:t>
      </w:r>
    </w:p>
    <w:p w14:paraId="7186B292" w14:textId="577D7DC1" w:rsidR="001F187F" w:rsidRDefault="001F187F" w:rsidP="0085295C">
      <w:pPr>
        <w:pStyle w:val="Textoindependiente"/>
        <w:jc w:val="both"/>
        <w:rPr>
          <w:rFonts w:ascii="Garamond" w:eastAsia="Arial MT" w:hAnsi="Garamond" w:cs="Arial MT"/>
          <w:w w:val="105"/>
          <w:sz w:val="22"/>
          <w:szCs w:val="22"/>
        </w:rPr>
      </w:pPr>
    </w:p>
    <w:p w14:paraId="469C4BCC" w14:textId="35875719" w:rsidR="001F187F" w:rsidRDefault="00B91156" w:rsidP="001F187F">
      <w:pPr>
        <w:pStyle w:val="Textoindependiente"/>
        <w:jc w:val="both"/>
        <w:rPr>
          <w:rFonts w:ascii="Garamond" w:eastAsia="Arial MT" w:hAnsi="Garamond" w:cs="Arial MT"/>
          <w:w w:val="105"/>
          <w:sz w:val="22"/>
          <w:szCs w:val="22"/>
        </w:rPr>
      </w:pPr>
      <w:r w:rsidRPr="00943216">
        <w:rPr>
          <w:rFonts w:ascii="Garamond" w:eastAsia="Arial MT" w:hAnsi="Garamond" w:cs="Arial MT"/>
          <w:w w:val="105"/>
          <w:sz w:val="22"/>
          <w:szCs w:val="22"/>
        </w:rPr>
        <w:t>Los procedimientos detall</w:t>
      </w:r>
      <w:r w:rsidR="001F187F">
        <w:rPr>
          <w:rFonts w:ascii="Garamond" w:eastAsia="Arial MT" w:hAnsi="Garamond" w:cs="Arial MT"/>
          <w:w w:val="105"/>
          <w:sz w:val="22"/>
          <w:szCs w:val="22"/>
        </w:rPr>
        <w:t xml:space="preserve">ados en el Anexo I, </w:t>
      </w:r>
      <w:r w:rsidRPr="00943216">
        <w:rPr>
          <w:rFonts w:ascii="Garamond" w:eastAsia="Arial MT" w:hAnsi="Garamond" w:cs="Arial MT"/>
          <w:w w:val="105"/>
          <w:sz w:val="22"/>
          <w:szCs w:val="22"/>
        </w:rPr>
        <w:t>han sido aplicados sobre los registros y la documentación que me fueron suministrados por la Sociedad. Mi tarea se basó en la premisa de que la información proporcionada es precisa, completa, legítima y libre de fraudes y otros actos ilegales, para lo cual he tenido en cuenta su apariencia y estructura formal.</w:t>
      </w:r>
    </w:p>
    <w:p w14:paraId="6B27E068" w14:textId="77777777" w:rsidR="00785A50" w:rsidRPr="00943216" w:rsidRDefault="00785A50" w:rsidP="00B1508E">
      <w:pPr>
        <w:pStyle w:val="Textoindependiente"/>
        <w:ind w:left="720"/>
        <w:jc w:val="both"/>
        <w:rPr>
          <w:rFonts w:ascii="Garamond" w:eastAsia="Arial MT" w:hAnsi="Garamond" w:cs="Arial MT"/>
          <w:w w:val="105"/>
          <w:sz w:val="22"/>
          <w:szCs w:val="22"/>
        </w:rPr>
      </w:pPr>
    </w:p>
    <w:p w14:paraId="7EE4992B" w14:textId="5EBF4FB2" w:rsidR="004D7A67" w:rsidRDefault="00B91156" w:rsidP="00785A50">
      <w:pPr>
        <w:pStyle w:val="Textoindependiente"/>
        <w:jc w:val="both"/>
        <w:rPr>
          <w:rFonts w:ascii="Garamond" w:eastAsia="Arial MT" w:hAnsi="Garamond" w:cs="Arial MT"/>
          <w:b/>
          <w:bCs/>
          <w:w w:val="105"/>
          <w:sz w:val="22"/>
          <w:szCs w:val="22"/>
        </w:rPr>
      </w:pPr>
      <w:r w:rsidRPr="00943216">
        <w:rPr>
          <w:rFonts w:ascii="Garamond" w:eastAsia="Arial MT" w:hAnsi="Garamond" w:cs="Arial MT"/>
          <w:b/>
          <w:bCs/>
          <w:w w:val="105"/>
          <w:sz w:val="22"/>
          <w:szCs w:val="22"/>
        </w:rPr>
        <w:t>Manifestación profesional</w:t>
      </w:r>
      <w:r w:rsidR="0070667A" w:rsidRPr="00943216">
        <w:rPr>
          <w:noProof/>
          <w:sz w:val="22"/>
          <w:szCs w:val="22"/>
          <w:lang w:val="es-AR" w:eastAsia="es-AR"/>
        </w:rPr>
        <mc:AlternateContent>
          <mc:Choice Requires="wps">
            <w:drawing>
              <wp:anchor distT="0" distB="0" distL="0" distR="0" simplePos="0" relativeHeight="251659264" behindDoc="1" locked="0" layoutInCell="1" allowOverlap="1" wp14:anchorId="082ECEA6" wp14:editId="5AD6693C">
                <wp:simplePos x="0" y="0"/>
                <wp:positionH relativeFrom="margin">
                  <wp:align>right</wp:align>
                </wp:positionH>
                <wp:positionV relativeFrom="paragraph">
                  <wp:posOffset>339725</wp:posOffset>
                </wp:positionV>
                <wp:extent cx="6320790" cy="327660"/>
                <wp:effectExtent l="0" t="0" r="22860" b="15240"/>
                <wp:wrapTopAndBottom/>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0790" cy="327660"/>
                        </a:xfrm>
                        <a:prstGeom prst="rect">
                          <a:avLst/>
                        </a:prstGeom>
                        <a:solidFill>
                          <a:srgbClr val="D9D9D9"/>
                        </a:solidFill>
                        <a:ln w="6096">
                          <a:solidFill>
                            <a:srgbClr val="000000"/>
                          </a:solidFill>
                          <a:prstDash val="solid"/>
                        </a:ln>
                      </wps:spPr>
                      <wps:txbx>
                        <w:txbxContent>
                          <w:p w14:paraId="01ECE4BB" w14:textId="77777777" w:rsidR="0070667A" w:rsidRPr="0070667A" w:rsidRDefault="0070667A" w:rsidP="0070667A">
                            <w:pPr>
                              <w:spacing w:line="242" w:lineRule="auto"/>
                              <w:ind w:left="105"/>
                              <w:rPr>
                                <w:rFonts w:ascii="Garamond" w:eastAsia="Arial MT" w:hAnsi="Garamond" w:cs="Arial MT"/>
                                <w:w w:val="105"/>
                                <w:sz w:val="24"/>
                                <w:szCs w:val="24"/>
                              </w:rPr>
                            </w:pPr>
                            <w:r w:rsidRPr="0070667A">
                              <w:rPr>
                                <w:rFonts w:ascii="Garamond" w:eastAsia="Arial MT" w:hAnsi="Garamond" w:cs="Arial MT"/>
                                <w:b/>
                                <w:w w:val="105"/>
                                <w:sz w:val="24"/>
                                <w:szCs w:val="24"/>
                                <w:u w:val="single"/>
                              </w:rPr>
                              <w:t>Alternativa 1:</w:t>
                            </w:r>
                            <w:r w:rsidRPr="0070667A">
                              <w:rPr>
                                <w:rFonts w:ascii="Garamond" w:eastAsia="Arial MT" w:hAnsi="Garamond" w:cs="Arial MT"/>
                                <w:w w:val="105"/>
                                <w:sz w:val="24"/>
                                <w:szCs w:val="24"/>
                              </w:rPr>
                              <w:t xml:space="preserve"> Manifestación relacionada con el cumplimiento normativo en la Información objeto del encargo indicando que no hay hallazgos que lo afecten.</w:t>
                            </w:r>
                          </w:p>
                        </w:txbxContent>
                      </wps:txbx>
                      <wps:bodyPr wrap="square" lIns="0" tIns="0" rIns="0" bIns="0" rtlCol="0">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082ECEA6" id="_x0000_t202" coordsize="21600,21600" o:spt="202" path="m,l,21600r21600,l21600,xe">
                <v:stroke joinstyle="miter"/>
                <v:path gradientshapeok="t" o:connecttype="rect"/>
              </v:shapetype>
              <v:shape id="Textbox 74" o:spid="_x0000_s1026" type="#_x0000_t202" style="position:absolute;left:0;text-align:left;margin-left:446.5pt;margin-top:26.75pt;width:497.7pt;height:25.8pt;z-index:-251657216;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" fillcolor="#d9d9d9" strokeweight=".48pt">
                <v:path arrowok="t"/>
                <v:textbox inset="0,0,0,0">
                  <w:txbxContent>
                    <w:p w14:paraId="01ECE4BB" w14:textId="77777777" w:rsidR="0070667A" w:rsidRPr="0070667A" w:rsidRDefault="0070667A" w:rsidP="0070667A">
                      <w:pPr>
                        <w:spacing w:line="242" w:lineRule="auto"/>
                        <w:ind w:left="105"/>
                        <w:rPr>
                          <w:rFonts w:ascii="Garamond" w:eastAsia="Arial MT" w:hAnsi="Garamond" w:cs="Arial MT"/>
                          <w:w w:val="105"/>
                          <w:sz w:val="24"/>
                          <w:szCs w:val="24"/>
                        </w:rPr>
                      </w:pPr>
                      <w:r w:rsidRPr="0070667A">
                        <w:rPr>
                          <w:rFonts w:ascii="Garamond" w:eastAsia="Arial MT" w:hAnsi="Garamond" w:cs="Arial MT"/>
                          <w:b/>
                          <w:w w:val="105"/>
                          <w:sz w:val="24"/>
                          <w:szCs w:val="24"/>
                          <w:u w:val="single"/>
                        </w:rPr>
                        <w:t>Alternativa 1:</w:t>
                      </w:r>
                      <w:r w:rsidRPr="0070667A">
                        <w:rPr>
                          <w:rFonts w:ascii="Garamond" w:eastAsia="Arial MT" w:hAnsi="Garamond" w:cs="Arial MT"/>
                          <w:w w:val="105"/>
                          <w:sz w:val="24"/>
                          <w:szCs w:val="24"/>
                        </w:rPr>
                        <w:t xml:space="preserve"> Manifestación relacionada con el cumplimiento normativo en la Información objeto del encargo indicando que no hay hallazgos que lo afecten.</w:t>
                      </w:r>
                    </w:p>
                  </w:txbxContent>
                </v:textbox>
                <w10:wrap type="topAndBottom" anchorx="margin"/>
              </v:shape>
            </w:pict>
          </mc:Fallback>
        </mc:AlternateContent>
      </w:r>
    </w:p>
    <w:p w14:paraId="24259E3F" w14:textId="77777777" w:rsidR="00785A50" w:rsidRPr="00943216" w:rsidRDefault="00785A50" w:rsidP="00785A50">
      <w:pPr>
        <w:pStyle w:val="Textoindependiente"/>
        <w:jc w:val="both"/>
        <w:rPr>
          <w:rFonts w:ascii="Garamond" w:eastAsia="Arial MT" w:hAnsi="Garamond" w:cs="Arial MT"/>
          <w:b/>
          <w:bCs/>
          <w:w w:val="105"/>
          <w:sz w:val="22"/>
          <w:szCs w:val="22"/>
        </w:rPr>
      </w:pPr>
    </w:p>
    <w:p w14:paraId="73D8F84E" w14:textId="77777777" w:rsidR="00785A50" w:rsidRDefault="00785A50" w:rsidP="0070667A">
      <w:pPr>
        <w:pStyle w:val="Textoindependiente"/>
        <w:spacing w:before="2"/>
        <w:jc w:val="both"/>
        <w:rPr>
          <w:rFonts w:ascii="Garamond" w:eastAsia="Arial MT" w:hAnsi="Garamond" w:cs="Arial MT"/>
          <w:w w:val="105"/>
          <w:sz w:val="22"/>
          <w:szCs w:val="22"/>
        </w:rPr>
      </w:pPr>
    </w:p>
    <w:p w14:paraId="297EF57A" w14:textId="0880A1B5" w:rsidR="0070667A" w:rsidRPr="00943216" w:rsidRDefault="0070667A" w:rsidP="00D45DE9">
      <w:pPr>
        <w:pStyle w:val="Textoindependiente"/>
        <w:spacing w:before="2"/>
        <w:jc w:val="both"/>
        <w:rPr>
          <w:rFonts w:ascii="Garamond" w:eastAsia="Arial MT" w:hAnsi="Garamond" w:cs="Arial MT"/>
          <w:w w:val="105"/>
          <w:sz w:val="22"/>
          <w:szCs w:val="22"/>
        </w:rPr>
      </w:pPr>
      <w:r w:rsidRPr="00943216">
        <w:rPr>
          <w:rFonts w:ascii="Garamond" w:eastAsia="Arial MT" w:hAnsi="Garamond" w:cs="Arial MT"/>
          <w:w w:val="105"/>
          <w:sz w:val="22"/>
          <w:szCs w:val="22"/>
        </w:rPr>
        <w:t xml:space="preserve">Sobre la base del trabajo realizado, cuyo alcance se describe en el párrafo precedente, informo que de los procedimientos ejecutados sobre “la Información objeto del encargo” no surgieron hallazgos que afecten el cumplimiento por parte de la Sociedad de los requerimientos del BCRA respecto de las normas sobre “Proveedores </w:t>
      </w:r>
      <w:r w:rsidR="001F187F">
        <w:rPr>
          <w:rFonts w:ascii="Garamond" w:eastAsia="Arial MT" w:hAnsi="Garamond" w:cs="Arial MT"/>
          <w:w w:val="105"/>
          <w:sz w:val="22"/>
          <w:szCs w:val="22"/>
        </w:rPr>
        <w:t>de servicios de pago</w:t>
      </w:r>
      <w:r w:rsidRPr="00943216">
        <w:rPr>
          <w:rFonts w:ascii="Garamond" w:eastAsia="Arial MT" w:hAnsi="Garamond" w:cs="Arial MT"/>
          <w:w w:val="105"/>
          <w:sz w:val="22"/>
          <w:szCs w:val="22"/>
        </w:rPr>
        <w:t>” m</w:t>
      </w:r>
      <w:r w:rsidR="00D45DE9">
        <w:rPr>
          <w:rFonts w:ascii="Garamond" w:eastAsia="Arial MT" w:hAnsi="Garamond" w:cs="Arial MT"/>
          <w:w w:val="105"/>
          <w:sz w:val="22"/>
          <w:szCs w:val="22"/>
        </w:rPr>
        <w:t xml:space="preserve">encionadas en el primer párrafo </w:t>
      </w:r>
      <w:r w:rsidR="00D45DE9" w:rsidRPr="00D45DE9">
        <w:rPr>
          <w:rFonts w:ascii="Garamond" w:eastAsia="Arial MT" w:hAnsi="Garamond" w:cs="Arial MT"/>
          <w:w w:val="105"/>
          <w:sz w:val="22"/>
          <w:szCs w:val="22"/>
        </w:rPr>
        <w:t>y la información contenida en el Apartado A del régimen informativo</w:t>
      </w:r>
      <w:r w:rsidR="00D45DE9">
        <w:rPr>
          <w:rFonts w:ascii="Garamond" w:eastAsia="Arial MT" w:hAnsi="Garamond" w:cs="Arial MT"/>
          <w:w w:val="105"/>
          <w:sz w:val="22"/>
          <w:szCs w:val="22"/>
        </w:rPr>
        <w:t xml:space="preserve"> </w:t>
      </w:r>
      <w:r w:rsidR="00D45DE9" w:rsidRPr="00D45DE9">
        <w:rPr>
          <w:rFonts w:ascii="Garamond" w:eastAsia="Arial MT" w:hAnsi="Garamond" w:cs="Arial MT"/>
          <w:w w:val="105"/>
          <w:sz w:val="22"/>
          <w:szCs w:val="22"/>
        </w:rPr>
        <w:t>de “Proveedores de Servicios de Pago que ofrecen cuentas de pago” en cuanto a su preparación y presentación, de acuerdo con las normas de procedimiento establecidas por el</w:t>
      </w:r>
      <w:r w:rsidR="00D45DE9">
        <w:rPr>
          <w:rFonts w:ascii="Garamond" w:eastAsia="Arial MT" w:hAnsi="Garamond" w:cs="Arial MT"/>
          <w:w w:val="105"/>
          <w:sz w:val="22"/>
          <w:szCs w:val="22"/>
        </w:rPr>
        <w:t xml:space="preserve"> </w:t>
      </w:r>
      <w:r w:rsidR="00D45DE9" w:rsidRPr="00D45DE9">
        <w:rPr>
          <w:rFonts w:ascii="Garamond" w:eastAsia="Arial MT" w:hAnsi="Garamond" w:cs="Arial MT"/>
          <w:w w:val="105"/>
          <w:sz w:val="22"/>
          <w:szCs w:val="22"/>
        </w:rPr>
        <w:t>BCRA.</w:t>
      </w:r>
    </w:p>
    <w:p w14:paraId="069C14C7" w14:textId="77777777" w:rsidR="0070667A" w:rsidRPr="00943216" w:rsidRDefault="0070667A">
      <w:pPr>
        <w:pStyle w:val="Textoindependiente"/>
        <w:spacing w:before="2"/>
        <w:rPr>
          <w:rFonts w:ascii="Garamond" w:hAnsi="Garamond"/>
          <w:b/>
          <w:i/>
          <w:sz w:val="22"/>
          <w:szCs w:val="22"/>
        </w:rPr>
      </w:pPr>
    </w:p>
    <w:p w14:paraId="06367F22" w14:textId="04A31F8C" w:rsidR="004D7A67" w:rsidRPr="00943216" w:rsidRDefault="0070667A" w:rsidP="0085295C">
      <w:pPr>
        <w:pStyle w:val="Textoindependiente"/>
        <w:jc w:val="both"/>
        <w:rPr>
          <w:rFonts w:ascii="Garamond" w:eastAsia="Arial MT" w:hAnsi="Garamond" w:cs="Arial MT"/>
          <w:w w:val="105"/>
          <w:sz w:val="22"/>
          <w:szCs w:val="22"/>
        </w:rPr>
      </w:pPr>
      <w:r w:rsidRPr="00943216">
        <w:rPr>
          <w:noProof/>
          <w:sz w:val="22"/>
          <w:szCs w:val="22"/>
          <w:lang w:val="es-AR" w:eastAsia="es-AR"/>
        </w:rPr>
        <mc:AlternateContent>
          <mc:Choice Requires="wps">
            <w:drawing>
              <wp:inline distT="0" distB="0" distL="0" distR="0" wp14:anchorId="00FDEE7E" wp14:editId="0B144D46">
                <wp:extent cx="6297433" cy="328295"/>
                <wp:effectExtent l="0" t="0" r="27305" b="14605"/>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7433" cy="328295"/>
                        </a:xfrm>
                        <a:prstGeom prst="rect">
                          <a:avLst/>
                        </a:prstGeom>
                        <a:solidFill>
                          <a:srgbClr val="D9D9D9"/>
                        </a:solidFill>
                        <a:ln w="6096">
                          <a:solidFill>
                            <a:srgbClr val="000000"/>
                          </a:solidFill>
                          <a:prstDash val="solid"/>
                        </a:ln>
                      </wps:spPr>
                      <wps:txbx>
                        <w:txbxContent>
                          <w:p w14:paraId="06B69DDD" w14:textId="08B321DE" w:rsidR="0070667A" w:rsidRPr="0070667A" w:rsidRDefault="0070667A" w:rsidP="0070667A">
                            <w:pPr>
                              <w:ind w:left="105"/>
                              <w:rPr>
                                <w:rFonts w:ascii="Garamond" w:eastAsia="Arial MT" w:hAnsi="Garamond" w:cs="Arial MT"/>
                                <w:w w:val="105"/>
                                <w:sz w:val="24"/>
                                <w:szCs w:val="24"/>
                              </w:rPr>
                            </w:pPr>
                            <w:r w:rsidRPr="0070667A">
                              <w:rPr>
                                <w:rFonts w:ascii="Garamond" w:eastAsia="Arial MT" w:hAnsi="Garamond" w:cs="Arial MT"/>
                                <w:b/>
                                <w:w w:val="105"/>
                                <w:sz w:val="24"/>
                                <w:szCs w:val="24"/>
                                <w:u w:val="single"/>
                              </w:rPr>
                              <w:t>Alternativa 2:</w:t>
                            </w:r>
                            <w:r w:rsidRPr="0070667A">
                              <w:rPr>
                                <w:rFonts w:ascii="Garamond" w:eastAsia="Arial MT" w:hAnsi="Garamond" w:cs="Arial MT"/>
                                <w:w w:val="105"/>
                                <w:sz w:val="24"/>
                                <w:szCs w:val="24"/>
                              </w:rPr>
                              <w:t xml:space="preserve"> Manifestación acerca de cada uno de los hallazgos surgidos de la aplicación de cada uno de los procedimientos aplicados.</w:t>
                            </w:r>
                          </w:p>
                        </w:txbxContent>
                      </wps:txbx>
                      <wps:bodyPr wrap="square" lIns="0" tIns="0" rIns="0" bIns="0" rtlCol="0">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00FDEE7E" id="Textbox 77" o:spid="_x0000_s1027" type="#_x0000_t202" style="width:495.85pt;height: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" fillcolor="#d9d9d9" strokeweight=".48pt">
                <v:path arrowok="t"/>
                <v:textbox inset="0,0,0,0">
                  <w:txbxContent>
                    <w:p w14:paraId="06B69DDD" w14:textId="08B321DE" w:rsidR="0070667A" w:rsidRPr="0070667A" w:rsidRDefault="0070667A" w:rsidP="0070667A">
                      <w:pPr>
                        <w:ind w:left="105"/>
                        <w:rPr>
                          <w:rFonts w:ascii="Garamond" w:eastAsia="Arial MT" w:hAnsi="Garamond" w:cs="Arial MT"/>
                          <w:w w:val="105"/>
                          <w:sz w:val="24"/>
                          <w:szCs w:val="24"/>
                        </w:rPr>
                      </w:pPr>
                      <w:r w:rsidRPr="0070667A">
                        <w:rPr>
                          <w:rFonts w:ascii="Garamond" w:eastAsia="Arial MT" w:hAnsi="Garamond" w:cs="Arial MT"/>
                          <w:b/>
                          <w:w w:val="105"/>
                          <w:sz w:val="24"/>
                          <w:szCs w:val="24"/>
                          <w:u w:val="single"/>
                        </w:rPr>
                        <w:t>Alternativa 2:</w:t>
                      </w:r>
                      <w:r w:rsidRPr="0070667A">
                        <w:rPr>
                          <w:rFonts w:ascii="Garamond" w:eastAsia="Arial MT" w:hAnsi="Garamond" w:cs="Arial MT"/>
                          <w:w w:val="105"/>
                          <w:sz w:val="24"/>
                          <w:szCs w:val="24"/>
                        </w:rPr>
                        <w:t xml:space="preserve"> Manifestación acerca de cada uno de los hallazgos surgidos de la aplicación de cada uno de los procedimientos aplicados.</w:t>
                      </w:r>
                    </w:p>
                  </w:txbxContent>
                </v:textbox>
                <w10:anchorlock/>
              </v:shape>
            </w:pict>
          </mc:Fallback>
        </mc:AlternateContent>
      </w:r>
    </w:p>
    <w:p w14:paraId="6E901B94" w14:textId="77777777" w:rsidR="0070667A" w:rsidRPr="00943216" w:rsidRDefault="0070667A" w:rsidP="0085295C">
      <w:pPr>
        <w:pStyle w:val="Textoindependiente"/>
        <w:jc w:val="both"/>
        <w:rPr>
          <w:rFonts w:ascii="Garamond" w:hAnsi="Garamond"/>
          <w:sz w:val="22"/>
          <w:szCs w:val="22"/>
        </w:rPr>
      </w:pPr>
    </w:p>
    <w:p w14:paraId="489ED3E4" w14:textId="6A7C8AB1" w:rsidR="000D3868" w:rsidRPr="00943216" w:rsidRDefault="0070667A" w:rsidP="000D3868">
      <w:pPr>
        <w:pStyle w:val="Textoindependiente"/>
        <w:spacing w:before="2"/>
        <w:jc w:val="both"/>
        <w:rPr>
          <w:rFonts w:ascii="Garamond" w:eastAsia="Arial MT" w:hAnsi="Garamond" w:cs="Arial MT"/>
          <w:w w:val="105"/>
          <w:sz w:val="22"/>
          <w:szCs w:val="22"/>
        </w:rPr>
      </w:pPr>
      <w:r w:rsidRPr="00943216">
        <w:rPr>
          <w:rFonts w:ascii="Garamond" w:eastAsia="Arial MT" w:hAnsi="Garamond" w:cs="Arial MT"/>
          <w:w w:val="105"/>
          <w:sz w:val="22"/>
          <w:szCs w:val="22"/>
        </w:rPr>
        <w:t xml:space="preserve">Sobre la base del trabajo realizado, cuyo alcance se describe en el párrafo precedente, </w:t>
      </w:r>
      <w:r w:rsidR="000D3868">
        <w:rPr>
          <w:rFonts w:ascii="Garamond" w:eastAsia="Arial MT" w:hAnsi="Garamond" w:cs="Arial MT"/>
          <w:w w:val="105"/>
          <w:sz w:val="22"/>
          <w:szCs w:val="22"/>
        </w:rPr>
        <w:t>informo que de los p</w:t>
      </w:r>
      <w:r w:rsidRPr="00943216">
        <w:rPr>
          <w:rFonts w:ascii="Garamond" w:eastAsia="Arial MT" w:hAnsi="Garamond" w:cs="Arial MT"/>
          <w:w w:val="105"/>
          <w:sz w:val="22"/>
          <w:szCs w:val="22"/>
        </w:rPr>
        <w:t>rocedimientos ejecutados sobre “la Información objeto del encargo”</w:t>
      </w:r>
      <w:r w:rsidR="000D3868">
        <w:rPr>
          <w:rFonts w:ascii="Garamond" w:eastAsia="Arial MT" w:hAnsi="Garamond" w:cs="Arial MT"/>
          <w:w w:val="105"/>
          <w:sz w:val="22"/>
          <w:szCs w:val="22"/>
        </w:rPr>
        <w:t xml:space="preserve">, </w:t>
      </w:r>
      <w:r w:rsidR="000D3868" w:rsidRPr="000D3868">
        <w:rPr>
          <w:rFonts w:ascii="Garamond" w:eastAsia="Arial MT" w:hAnsi="Garamond" w:cs="Arial MT"/>
          <w:w w:val="105"/>
          <w:sz w:val="22"/>
          <w:szCs w:val="22"/>
        </w:rPr>
        <w:t>no surgieron otros hallazgos que menciona</w:t>
      </w:r>
      <w:r w:rsidR="000D3868">
        <w:rPr>
          <w:rFonts w:ascii="Garamond" w:eastAsia="Arial MT" w:hAnsi="Garamond" w:cs="Arial MT"/>
          <w:w w:val="105"/>
          <w:sz w:val="22"/>
          <w:szCs w:val="22"/>
        </w:rPr>
        <w:t xml:space="preserve">r que los indicados en el Anexo </w:t>
      </w:r>
      <w:r w:rsidR="000D3868" w:rsidRPr="000D3868">
        <w:rPr>
          <w:rFonts w:ascii="Garamond" w:eastAsia="Arial MT" w:hAnsi="Garamond" w:cs="Arial MT"/>
          <w:w w:val="105"/>
          <w:sz w:val="22"/>
          <w:szCs w:val="22"/>
        </w:rPr>
        <w:t xml:space="preserve">II, que afecten el cumplimiento por parte de la Sociedad de las normas del BCRA en materia de proveedores de servicios de pago mencionadas </w:t>
      </w:r>
      <w:r w:rsidR="000D3868">
        <w:rPr>
          <w:rFonts w:ascii="Garamond" w:eastAsia="Arial MT" w:hAnsi="Garamond" w:cs="Arial MT"/>
          <w:w w:val="105"/>
          <w:sz w:val="22"/>
          <w:szCs w:val="22"/>
        </w:rPr>
        <w:t>en el primer párrafo</w:t>
      </w:r>
      <w:r w:rsidR="000D3868">
        <w:rPr>
          <w:rFonts w:ascii="Garamond" w:eastAsia="Arial MT" w:hAnsi="Garamond" w:cs="Arial MT"/>
          <w:w w:val="105"/>
          <w:sz w:val="22"/>
          <w:szCs w:val="22"/>
        </w:rPr>
        <w:t xml:space="preserve">, y la información </w:t>
      </w:r>
      <w:r w:rsidR="000D3868" w:rsidRPr="000D3868">
        <w:rPr>
          <w:rFonts w:ascii="Garamond" w:eastAsia="Arial MT" w:hAnsi="Garamond" w:cs="Arial MT"/>
          <w:w w:val="105"/>
          <w:sz w:val="22"/>
          <w:szCs w:val="22"/>
        </w:rPr>
        <w:t>contenida en el Apartado A del régimen informativo de “P</w:t>
      </w:r>
      <w:r w:rsidR="000D3868">
        <w:rPr>
          <w:rFonts w:ascii="Garamond" w:eastAsia="Arial MT" w:hAnsi="Garamond" w:cs="Arial MT"/>
          <w:w w:val="105"/>
          <w:sz w:val="22"/>
          <w:szCs w:val="22"/>
        </w:rPr>
        <w:t xml:space="preserve">roveedores de Servicios de Pago </w:t>
      </w:r>
      <w:r w:rsidR="000D3868" w:rsidRPr="000D3868">
        <w:rPr>
          <w:rFonts w:ascii="Garamond" w:eastAsia="Arial MT" w:hAnsi="Garamond" w:cs="Arial MT"/>
          <w:w w:val="105"/>
          <w:sz w:val="22"/>
          <w:szCs w:val="22"/>
        </w:rPr>
        <w:t>que ofrecen cuentas de pago” en cuanto a su preparación</w:t>
      </w:r>
      <w:r w:rsidR="000D3868">
        <w:rPr>
          <w:rFonts w:ascii="Garamond" w:eastAsia="Arial MT" w:hAnsi="Garamond" w:cs="Arial MT"/>
          <w:w w:val="105"/>
          <w:sz w:val="22"/>
          <w:szCs w:val="22"/>
        </w:rPr>
        <w:t xml:space="preserve"> y presentación, de acuerdo con </w:t>
      </w:r>
      <w:r w:rsidR="000D3868" w:rsidRPr="000D3868">
        <w:rPr>
          <w:rFonts w:ascii="Garamond" w:eastAsia="Arial MT" w:hAnsi="Garamond" w:cs="Arial MT"/>
          <w:w w:val="105"/>
          <w:sz w:val="22"/>
          <w:szCs w:val="22"/>
        </w:rPr>
        <w:t>las normas de procedimiento establecidas por el BCRA.</w:t>
      </w:r>
    </w:p>
    <w:p w14:paraId="7E95CBBD" w14:textId="53B602F3" w:rsidR="001F187F" w:rsidRDefault="001F187F" w:rsidP="001F187F">
      <w:pPr>
        <w:pStyle w:val="Textoindependiente"/>
        <w:jc w:val="both"/>
        <w:rPr>
          <w:rFonts w:ascii="Garamond" w:hAnsi="Garamond"/>
          <w:sz w:val="22"/>
          <w:szCs w:val="22"/>
        </w:rPr>
      </w:pPr>
    </w:p>
    <w:p w14:paraId="518CAF75" w14:textId="14173162" w:rsidR="0085295C" w:rsidRPr="00943216" w:rsidRDefault="00943216" w:rsidP="0085295C">
      <w:pPr>
        <w:pStyle w:val="Textoindependiente"/>
        <w:jc w:val="both"/>
        <w:rPr>
          <w:rFonts w:ascii="Garamond" w:hAnsi="Garamond"/>
          <w:b/>
          <w:bCs/>
          <w:w w:val="105"/>
          <w:sz w:val="22"/>
          <w:szCs w:val="22"/>
        </w:rPr>
      </w:pPr>
      <w:r w:rsidRPr="00943216">
        <w:rPr>
          <w:rFonts w:ascii="Garamond" w:hAnsi="Garamond"/>
          <w:b/>
          <w:bCs/>
          <w:w w:val="105"/>
          <w:sz w:val="22"/>
          <w:szCs w:val="22"/>
        </w:rPr>
        <w:t xml:space="preserve">Otras cuestiones: </w:t>
      </w:r>
      <w:r w:rsidR="0085295C" w:rsidRPr="00943216">
        <w:rPr>
          <w:rFonts w:ascii="Garamond" w:hAnsi="Garamond"/>
          <w:b/>
          <w:bCs/>
          <w:w w:val="105"/>
          <w:sz w:val="22"/>
          <w:szCs w:val="22"/>
        </w:rPr>
        <w:t>Restricción</w:t>
      </w:r>
      <w:r w:rsidR="0085295C" w:rsidRPr="00943216">
        <w:rPr>
          <w:rFonts w:ascii="Garamond" w:hAnsi="Garamond"/>
          <w:b/>
          <w:bCs/>
          <w:spacing w:val="-6"/>
          <w:w w:val="105"/>
          <w:sz w:val="22"/>
          <w:szCs w:val="22"/>
        </w:rPr>
        <w:t xml:space="preserve"> </w:t>
      </w:r>
      <w:r w:rsidR="0085295C" w:rsidRPr="00943216">
        <w:rPr>
          <w:rFonts w:ascii="Garamond" w:hAnsi="Garamond"/>
          <w:b/>
          <w:bCs/>
          <w:w w:val="105"/>
          <w:sz w:val="22"/>
          <w:szCs w:val="22"/>
        </w:rPr>
        <w:t>de</w:t>
      </w:r>
      <w:r w:rsidR="0085295C" w:rsidRPr="00943216">
        <w:rPr>
          <w:rFonts w:ascii="Garamond" w:hAnsi="Garamond"/>
          <w:b/>
          <w:bCs/>
          <w:spacing w:val="-5"/>
          <w:w w:val="105"/>
          <w:sz w:val="22"/>
          <w:szCs w:val="22"/>
        </w:rPr>
        <w:t xml:space="preserve"> </w:t>
      </w:r>
      <w:r w:rsidR="0085295C" w:rsidRPr="00943216">
        <w:rPr>
          <w:rFonts w:ascii="Garamond" w:hAnsi="Garamond"/>
          <w:b/>
          <w:bCs/>
          <w:w w:val="105"/>
          <w:sz w:val="22"/>
          <w:szCs w:val="22"/>
        </w:rPr>
        <w:t>uso</w:t>
      </w:r>
      <w:r w:rsidR="0085295C" w:rsidRPr="00943216">
        <w:rPr>
          <w:rFonts w:ascii="Garamond" w:hAnsi="Garamond"/>
          <w:b/>
          <w:bCs/>
          <w:spacing w:val="-6"/>
          <w:w w:val="105"/>
          <w:sz w:val="22"/>
          <w:szCs w:val="22"/>
        </w:rPr>
        <w:t xml:space="preserve"> </w:t>
      </w:r>
      <w:r w:rsidR="0085295C" w:rsidRPr="00943216">
        <w:rPr>
          <w:rFonts w:ascii="Garamond" w:hAnsi="Garamond"/>
          <w:b/>
          <w:bCs/>
          <w:w w:val="105"/>
          <w:sz w:val="22"/>
          <w:szCs w:val="22"/>
        </w:rPr>
        <w:t>del</w:t>
      </w:r>
      <w:r w:rsidR="0085295C" w:rsidRPr="00943216">
        <w:rPr>
          <w:rFonts w:ascii="Garamond" w:hAnsi="Garamond"/>
          <w:b/>
          <w:bCs/>
          <w:spacing w:val="-4"/>
          <w:w w:val="105"/>
          <w:sz w:val="22"/>
          <w:szCs w:val="22"/>
        </w:rPr>
        <w:t xml:space="preserve"> </w:t>
      </w:r>
      <w:r w:rsidR="0085295C" w:rsidRPr="00943216">
        <w:rPr>
          <w:rFonts w:ascii="Garamond" w:hAnsi="Garamond"/>
          <w:b/>
          <w:bCs/>
          <w:w w:val="105"/>
          <w:sz w:val="22"/>
          <w:szCs w:val="22"/>
        </w:rPr>
        <w:t>informe</w:t>
      </w:r>
      <w:r w:rsidR="0085295C" w:rsidRPr="00943216">
        <w:rPr>
          <w:rFonts w:ascii="Garamond" w:hAnsi="Garamond"/>
          <w:b/>
          <w:bCs/>
          <w:spacing w:val="-7"/>
          <w:w w:val="105"/>
          <w:sz w:val="22"/>
          <w:szCs w:val="22"/>
        </w:rPr>
        <w:t xml:space="preserve"> </w:t>
      </w:r>
      <w:r w:rsidR="0085295C" w:rsidRPr="00943216">
        <w:rPr>
          <w:rFonts w:ascii="Garamond" w:hAnsi="Garamond"/>
          <w:b/>
          <w:bCs/>
          <w:w w:val="105"/>
          <w:sz w:val="22"/>
          <w:szCs w:val="22"/>
        </w:rPr>
        <w:t>especial</w:t>
      </w:r>
    </w:p>
    <w:p w14:paraId="73CD7B9D" w14:textId="77777777" w:rsidR="004D7A67" w:rsidRPr="00943216" w:rsidRDefault="004D7A67">
      <w:pPr>
        <w:pStyle w:val="Textoindependiente"/>
        <w:spacing w:before="10"/>
        <w:rPr>
          <w:rFonts w:ascii="Garamond" w:hAnsi="Garamond"/>
          <w:b/>
          <w:i/>
          <w:sz w:val="22"/>
          <w:szCs w:val="22"/>
        </w:rPr>
      </w:pPr>
    </w:p>
    <w:p w14:paraId="244AB230" w14:textId="7DCDF82A" w:rsidR="00943216" w:rsidRPr="00943216" w:rsidRDefault="00B91156" w:rsidP="0085295C">
      <w:pPr>
        <w:pStyle w:val="Textoindependiente"/>
        <w:jc w:val="both"/>
        <w:rPr>
          <w:rFonts w:ascii="Garamond" w:eastAsia="Arial MT" w:hAnsi="Garamond" w:cs="Arial MT"/>
          <w:w w:val="105"/>
          <w:sz w:val="22"/>
          <w:szCs w:val="22"/>
        </w:rPr>
      </w:pPr>
      <w:r w:rsidRPr="00943216">
        <w:rPr>
          <w:rFonts w:ascii="Garamond" w:eastAsia="Arial MT" w:hAnsi="Garamond" w:cs="Arial MT"/>
          <w:w w:val="105"/>
          <w:sz w:val="22"/>
          <w:szCs w:val="22"/>
        </w:rPr>
        <w:t>Mi informe ha sido preparado exclusivamente para uso de la Dirección de la Sociedad y par</w:t>
      </w:r>
      <w:r w:rsidR="00144284" w:rsidRPr="00943216">
        <w:rPr>
          <w:rFonts w:ascii="Garamond" w:eastAsia="Arial MT" w:hAnsi="Garamond" w:cs="Arial MT"/>
          <w:w w:val="105"/>
          <w:sz w:val="22"/>
          <w:szCs w:val="22"/>
        </w:rPr>
        <w:t xml:space="preserve">a su </w:t>
      </w:r>
      <w:r w:rsidR="00943216" w:rsidRPr="00943216">
        <w:rPr>
          <w:rFonts w:ascii="Garamond" w:eastAsia="Arial MT" w:hAnsi="Garamond" w:cs="Arial MT"/>
          <w:w w:val="105"/>
          <w:sz w:val="22"/>
          <w:szCs w:val="22"/>
        </w:rPr>
        <w:t xml:space="preserve">presentación ante el BCRA </w:t>
      </w:r>
      <w:r w:rsidRPr="00943216">
        <w:rPr>
          <w:rFonts w:ascii="Garamond" w:eastAsia="Arial MT" w:hAnsi="Garamond" w:cs="Arial MT"/>
          <w:w w:val="105"/>
          <w:sz w:val="22"/>
          <w:szCs w:val="22"/>
        </w:rPr>
        <w:t>en relación con lo requer</w:t>
      </w:r>
      <w:r w:rsidR="00943216" w:rsidRPr="00943216">
        <w:rPr>
          <w:rFonts w:ascii="Garamond" w:eastAsia="Arial MT" w:hAnsi="Garamond" w:cs="Arial MT"/>
          <w:w w:val="105"/>
          <w:sz w:val="22"/>
          <w:szCs w:val="22"/>
        </w:rPr>
        <w:t xml:space="preserve">ido por las normas sobre Proveedores no financieros de crédito en virtud de la </w:t>
      </w:r>
      <w:r w:rsidR="00B1508E" w:rsidRPr="00943216">
        <w:rPr>
          <w:rFonts w:ascii="Garamond" w:eastAsia="Arial MT" w:hAnsi="Garamond" w:cs="Arial MT"/>
          <w:w w:val="105"/>
          <w:sz w:val="22"/>
          <w:szCs w:val="22"/>
        </w:rPr>
        <w:t xml:space="preserve">Comunicación “A” </w:t>
      </w:r>
      <w:r w:rsidR="001F187F">
        <w:rPr>
          <w:rFonts w:ascii="Garamond" w:eastAsia="Arial MT" w:hAnsi="Garamond" w:cs="Arial MT"/>
          <w:w w:val="105"/>
          <w:sz w:val="22"/>
          <w:szCs w:val="22"/>
        </w:rPr>
        <w:t>7972</w:t>
      </w:r>
      <w:r w:rsidR="00943216" w:rsidRPr="00943216">
        <w:rPr>
          <w:rFonts w:ascii="Garamond" w:eastAsia="Arial MT" w:hAnsi="Garamond" w:cs="Arial MT"/>
          <w:w w:val="105"/>
          <w:sz w:val="22"/>
          <w:szCs w:val="22"/>
        </w:rPr>
        <w:t xml:space="preserve"> </w:t>
      </w:r>
      <w:r w:rsidRPr="00943216">
        <w:rPr>
          <w:rFonts w:ascii="Garamond" w:eastAsia="Arial MT" w:hAnsi="Garamond" w:cs="Arial MT"/>
          <w:w w:val="105"/>
          <w:sz w:val="22"/>
          <w:szCs w:val="22"/>
        </w:rPr>
        <w:t>del BCRA y, por lo tanto, no asumo responsabilidad en el caso que sea utilizado, o se haga referencia a éste o sea distribuido con otro propósito.</w:t>
      </w:r>
    </w:p>
    <w:p w14:paraId="06945624" w14:textId="77777777" w:rsidR="004D7A67" w:rsidRPr="00943216" w:rsidRDefault="004D7A67">
      <w:pPr>
        <w:pStyle w:val="Textoindependiente"/>
        <w:rPr>
          <w:rFonts w:ascii="Garamond" w:hAnsi="Garamond"/>
          <w:sz w:val="22"/>
          <w:szCs w:val="22"/>
        </w:rPr>
      </w:pPr>
    </w:p>
    <w:p w14:paraId="58D67070" w14:textId="77777777" w:rsidR="0085295C" w:rsidRPr="00943216" w:rsidRDefault="0085295C" w:rsidP="0085295C">
      <w:pPr>
        <w:spacing w:line="246" w:lineRule="exact"/>
        <w:jc w:val="both"/>
        <w:rPr>
          <w:rFonts w:ascii="Garamond" w:hAnsi="Garamond"/>
          <w:color w:val="010302"/>
          <w:lang w:val="es-AR"/>
        </w:rPr>
      </w:pPr>
      <w:r w:rsidRPr="00943216">
        <w:rPr>
          <w:rFonts w:ascii="Garamond" w:hAnsi="Garamond"/>
          <w:color w:val="010302"/>
          <w:lang w:val="es-AR"/>
        </w:rPr>
        <w:t xml:space="preserve">Ciudad Autónoma de Buenos Aires, </w:t>
      </w:r>
      <w:proofErr w:type="spellStart"/>
      <w:r w:rsidRPr="00943216">
        <w:rPr>
          <w:rFonts w:ascii="Garamond" w:hAnsi="Garamond"/>
          <w:color w:val="010302"/>
          <w:lang w:val="es-AR"/>
        </w:rPr>
        <w:t>dd</w:t>
      </w:r>
      <w:proofErr w:type="spellEnd"/>
      <w:r w:rsidRPr="00943216">
        <w:rPr>
          <w:rFonts w:ascii="Garamond" w:hAnsi="Garamond"/>
          <w:color w:val="010302"/>
          <w:lang w:val="es-AR"/>
        </w:rPr>
        <w:t>/mm/</w:t>
      </w:r>
      <w:proofErr w:type="spellStart"/>
      <w:r w:rsidRPr="00943216">
        <w:rPr>
          <w:rFonts w:ascii="Garamond" w:hAnsi="Garamond"/>
          <w:color w:val="010302"/>
          <w:lang w:val="es-AR"/>
        </w:rPr>
        <w:t>aaaa</w:t>
      </w:r>
      <w:proofErr w:type="spellEnd"/>
    </w:p>
    <w:p w14:paraId="35A467A8" w14:textId="77777777" w:rsidR="0085295C" w:rsidRPr="00943216" w:rsidRDefault="0085295C" w:rsidP="0085295C">
      <w:pPr>
        <w:spacing w:line="246" w:lineRule="exact"/>
        <w:jc w:val="both"/>
        <w:rPr>
          <w:rFonts w:ascii="Garamond" w:hAnsi="Garamond"/>
          <w:color w:val="010302"/>
          <w:lang w:val="es-AR"/>
        </w:rPr>
      </w:pPr>
    </w:p>
    <w:p w14:paraId="3E31A97E" w14:textId="77777777" w:rsidR="0085295C" w:rsidRPr="00943216" w:rsidRDefault="0085295C" w:rsidP="0085295C">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64"/>
        <w:gridCol w:w="2884"/>
        <w:gridCol w:w="3446"/>
      </w:tblGrid>
      <w:tr w:rsidR="0085295C" w:rsidRPr="00943216" w14:paraId="340209B9" w14:textId="77777777" w:rsidTr="000E2FBF">
        <w:tc>
          <w:tcPr>
            <w:tcW w:w="3164" w:type="dxa"/>
            <w:shd w:val="clear" w:color="auto" w:fill="auto"/>
          </w:tcPr>
          <w:p w14:paraId="12401DEB" w14:textId="77777777" w:rsidR="0085295C" w:rsidRPr="00943216" w:rsidRDefault="0085295C" w:rsidP="000E2FBF">
            <w:pPr>
              <w:adjustRightInd w:val="0"/>
              <w:spacing w:line="249" w:lineRule="atLeast"/>
              <w:jc w:val="both"/>
              <w:rPr>
                <w:rFonts w:ascii="Garamond" w:hAnsi="Garamond"/>
              </w:rPr>
            </w:pPr>
          </w:p>
        </w:tc>
        <w:tc>
          <w:tcPr>
            <w:tcW w:w="2884" w:type="dxa"/>
            <w:shd w:val="clear" w:color="auto" w:fill="auto"/>
          </w:tcPr>
          <w:p w14:paraId="40C87D5D" w14:textId="77777777" w:rsidR="0085295C" w:rsidRPr="00943216" w:rsidRDefault="0085295C" w:rsidP="000E2FBF">
            <w:pPr>
              <w:adjustRightInd w:val="0"/>
              <w:spacing w:line="249" w:lineRule="atLeast"/>
              <w:jc w:val="both"/>
              <w:rPr>
                <w:rFonts w:ascii="Garamond" w:hAnsi="Garamond"/>
              </w:rPr>
            </w:pPr>
          </w:p>
        </w:tc>
        <w:tc>
          <w:tcPr>
            <w:tcW w:w="3446" w:type="dxa"/>
            <w:shd w:val="clear" w:color="auto" w:fill="auto"/>
          </w:tcPr>
          <w:p w14:paraId="667E2D14" w14:textId="77777777" w:rsidR="0085295C" w:rsidRPr="00943216" w:rsidRDefault="0085295C" w:rsidP="000E2FBF">
            <w:pPr>
              <w:adjustRightInd w:val="0"/>
              <w:spacing w:line="249" w:lineRule="atLeast"/>
              <w:jc w:val="center"/>
              <w:rPr>
                <w:rFonts w:ascii="Garamond" w:hAnsi="Garamond"/>
              </w:rPr>
            </w:pPr>
            <w:r w:rsidRPr="00943216">
              <w:rPr>
                <w:rFonts w:ascii="Garamond" w:hAnsi="Garamond"/>
              </w:rPr>
              <w:t>Dr. WXYZ</w:t>
            </w:r>
          </w:p>
          <w:p w14:paraId="11943F5F" w14:textId="77777777" w:rsidR="0085295C" w:rsidRPr="00943216" w:rsidRDefault="0085295C" w:rsidP="000E2FBF">
            <w:pPr>
              <w:adjustRightInd w:val="0"/>
              <w:spacing w:line="249" w:lineRule="atLeast"/>
              <w:jc w:val="center"/>
              <w:rPr>
                <w:rFonts w:ascii="Garamond" w:hAnsi="Garamond"/>
              </w:rPr>
            </w:pPr>
            <w:r w:rsidRPr="00943216">
              <w:rPr>
                <w:rFonts w:ascii="Garamond" w:hAnsi="Garamond"/>
              </w:rPr>
              <w:t>Contador Público (Universidad)</w:t>
            </w:r>
          </w:p>
          <w:p w14:paraId="7F4FD096" w14:textId="77777777" w:rsidR="0085295C" w:rsidRPr="00943216" w:rsidRDefault="0085295C" w:rsidP="000E2FBF">
            <w:pPr>
              <w:adjustRightInd w:val="0"/>
              <w:spacing w:line="249" w:lineRule="atLeast"/>
              <w:jc w:val="center"/>
              <w:rPr>
                <w:rFonts w:ascii="Garamond" w:hAnsi="Garamond"/>
              </w:rPr>
            </w:pPr>
            <w:r w:rsidRPr="00943216">
              <w:rPr>
                <w:rFonts w:ascii="Garamond" w:hAnsi="Garamond"/>
              </w:rPr>
              <w:t xml:space="preserve">C.P.C.E.C.A.B.A. </w:t>
            </w:r>
            <w:proofErr w:type="spellStart"/>
            <w:r w:rsidRPr="00943216">
              <w:rPr>
                <w:rFonts w:ascii="Garamond" w:hAnsi="Garamond"/>
              </w:rPr>
              <w:t>T°</w:t>
            </w:r>
            <w:proofErr w:type="spellEnd"/>
            <w:r w:rsidRPr="00943216">
              <w:rPr>
                <w:rFonts w:ascii="Garamond" w:hAnsi="Garamond"/>
              </w:rPr>
              <w:t xml:space="preserve">… </w:t>
            </w:r>
            <w:proofErr w:type="spellStart"/>
            <w:r w:rsidRPr="00943216">
              <w:rPr>
                <w:rFonts w:ascii="Garamond" w:hAnsi="Garamond"/>
              </w:rPr>
              <w:t>F°</w:t>
            </w:r>
            <w:proofErr w:type="spellEnd"/>
            <w:r w:rsidRPr="00943216">
              <w:rPr>
                <w:rFonts w:ascii="Garamond" w:hAnsi="Garamond"/>
              </w:rPr>
              <w:t>…</w:t>
            </w:r>
          </w:p>
        </w:tc>
      </w:tr>
    </w:tbl>
    <w:p w14:paraId="0F3AA991" w14:textId="77777777" w:rsidR="007F7A1F" w:rsidRDefault="007F7A1F" w:rsidP="00CD6C3C">
      <w:pPr>
        <w:spacing w:before="1"/>
        <w:jc w:val="both"/>
        <w:rPr>
          <w:rFonts w:ascii="Garamond" w:hAnsi="Garamond"/>
          <w:b/>
          <w:i/>
          <w:sz w:val="24"/>
          <w:szCs w:val="24"/>
        </w:rPr>
      </w:pPr>
    </w:p>
    <w:p w14:paraId="6F997B5E" w14:textId="77777777" w:rsidR="007F7A1F" w:rsidRDefault="007F7A1F" w:rsidP="00CD6C3C">
      <w:pPr>
        <w:spacing w:before="1"/>
        <w:jc w:val="both"/>
        <w:rPr>
          <w:rFonts w:ascii="Garamond" w:hAnsi="Garamond"/>
          <w:b/>
          <w:i/>
          <w:sz w:val="24"/>
          <w:szCs w:val="24"/>
        </w:rPr>
      </w:pPr>
    </w:p>
    <w:p w14:paraId="18E2008B" w14:textId="56EFC9B1" w:rsidR="008D66D8" w:rsidRDefault="008D66D8" w:rsidP="00CD6C3C">
      <w:pPr>
        <w:rPr>
          <w:rFonts w:ascii="Garamond" w:hAnsi="Garamond"/>
          <w:b/>
          <w:i/>
          <w:sz w:val="24"/>
          <w:szCs w:val="24"/>
        </w:rPr>
      </w:pPr>
    </w:p>
    <w:p w14:paraId="770F40C2" w14:textId="77777777" w:rsidR="008D66D8" w:rsidRDefault="008D66D8" w:rsidP="008D66D8">
      <w:pPr>
        <w:pStyle w:val="Textoindependiente"/>
        <w:spacing w:before="1"/>
        <w:rPr>
          <w:rFonts w:ascii="Garamond" w:hAnsi="Garamond"/>
          <w:b/>
          <w:i/>
        </w:rPr>
      </w:pPr>
    </w:p>
    <w:p w14:paraId="46E19E17" w14:textId="77777777" w:rsidR="000D3868" w:rsidRDefault="000D3868" w:rsidP="008D66D8">
      <w:pPr>
        <w:pStyle w:val="Textoindependiente"/>
        <w:spacing w:before="1"/>
        <w:rPr>
          <w:rFonts w:ascii="Garamond" w:hAnsi="Garamond"/>
          <w:b/>
          <w:i/>
        </w:rPr>
      </w:pPr>
    </w:p>
    <w:p w14:paraId="587AA083" w14:textId="77777777" w:rsidR="000D3868" w:rsidRPr="0085295C" w:rsidRDefault="000D3868" w:rsidP="008D66D8">
      <w:pPr>
        <w:pStyle w:val="Textoindependiente"/>
        <w:spacing w:before="1"/>
        <w:rPr>
          <w:rFonts w:ascii="Garamond" w:hAnsi="Garamond"/>
          <w:b/>
          <w:i/>
        </w:rPr>
      </w:pPr>
    </w:p>
    <w:p w14:paraId="1F3454A1" w14:textId="77777777" w:rsidR="008D66D8" w:rsidRPr="0085295C" w:rsidRDefault="008D66D8" w:rsidP="008D66D8">
      <w:pPr>
        <w:ind w:right="115"/>
        <w:jc w:val="right"/>
        <w:rPr>
          <w:rFonts w:ascii="Garamond" w:hAnsi="Garamond"/>
          <w:b/>
          <w:sz w:val="24"/>
          <w:szCs w:val="24"/>
        </w:rPr>
      </w:pPr>
      <w:r w:rsidRPr="0085295C">
        <w:rPr>
          <w:rFonts w:ascii="Garamond" w:hAnsi="Garamond"/>
          <w:b/>
          <w:sz w:val="24"/>
          <w:szCs w:val="24"/>
        </w:rPr>
        <w:lastRenderedPageBreak/>
        <w:t>ANEXO</w:t>
      </w:r>
      <w:r w:rsidRPr="0085295C">
        <w:rPr>
          <w:rFonts w:ascii="Garamond" w:hAnsi="Garamond"/>
          <w:b/>
          <w:spacing w:val="-2"/>
          <w:sz w:val="24"/>
          <w:szCs w:val="24"/>
        </w:rPr>
        <w:t xml:space="preserve"> </w:t>
      </w:r>
      <w:r w:rsidRPr="0085295C">
        <w:rPr>
          <w:rFonts w:ascii="Garamond" w:hAnsi="Garamond"/>
          <w:b/>
          <w:sz w:val="24"/>
          <w:szCs w:val="24"/>
        </w:rPr>
        <w:t>I</w:t>
      </w:r>
    </w:p>
    <w:p w14:paraId="3FEF8E85" w14:textId="77777777" w:rsidR="008D66D8" w:rsidRPr="0085295C" w:rsidRDefault="008D66D8" w:rsidP="008D66D8">
      <w:pPr>
        <w:pStyle w:val="Textoindependiente"/>
        <w:spacing w:before="10"/>
        <w:rPr>
          <w:rFonts w:ascii="Garamond" w:hAnsi="Garamond"/>
          <w:b/>
        </w:rPr>
      </w:pPr>
    </w:p>
    <w:p w14:paraId="2D2E3C4F" w14:textId="77777777" w:rsidR="000D3868" w:rsidRPr="00943216" w:rsidRDefault="000D3868" w:rsidP="000D3868">
      <w:pPr>
        <w:pStyle w:val="Puesto"/>
        <w:rPr>
          <w:rFonts w:ascii="Garamond" w:hAnsi="Garamond"/>
          <w:w w:val="105"/>
          <w:szCs w:val="24"/>
          <w:u w:val="none"/>
        </w:rPr>
      </w:pPr>
      <w:r w:rsidRPr="00943216">
        <w:rPr>
          <w:rFonts w:ascii="Garamond" w:hAnsi="Garamond"/>
          <w:w w:val="105"/>
          <w:szCs w:val="24"/>
          <w:u w:val="none"/>
        </w:rPr>
        <w:t xml:space="preserve">INFORME ESPECIAL DE CONTADOR PÚBLICO INDEPENDIENTE </w:t>
      </w:r>
    </w:p>
    <w:p w14:paraId="33B01BE5" w14:textId="61CC6143" w:rsidR="008D66D8" w:rsidRPr="000D3868" w:rsidRDefault="000D3868" w:rsidP="000D3868">
      <w:pPr>
        <w:jc w:val="center"/>
        <w:rPr>
          <w:rFonts w:ascii="Garamond" w:hAnsi="Garamond"/>
          <w:b/>
          <w:snapToGrid w:val="0"/>
          <w:w w:val="105"/>
          <w:sz w:val="24"/>
          <w:szCs w:val="24"/>
          <w:lang w:eastAsia="es-ES"/>
        </w:rPr>
      </w:pPr>
      <w:r w:rsidRPr="000D3868">
        <w:rPr>
          <w:rFonts w:ascii="Garamond" w:hAnsi="Garamond"/>
          <w:b/>
          <w:snapToGrid w:val="0"/>
          <w:w w:val="105"/>
          <w:sz w:val="24"/>
          <w:szCs w:val="24"/>
          <w:lang w:eastAsia="es-ES"/>
        </w:rPr>
        <w:t>SOBRE EL CUMPLIMIENTO DE LAS NORMAS DEL BCRA POR PARTE DE LOS PROVEEDORES DE SERVICIOS DE PAGO</w:t>
      </w:r>
    </w:p>
    <w:p w14:paraId="78BC3AE0" w14:textId="77777777" w:rsidR="000D3868" w:rsidRDefault="000D3868" w:rsidP="000D3868">
      <w:pPr>
        <w:jc w:val="center"/>
        <w:rPr>
          <w:rFonts w:ascii="Garamond" w:hAnsi="Garamond"/>
          <w:b/>
          <w:sz w:val="24"/>
          <w:szCs w:val="24"/>
        </w:rPr>
      </w:pPr>
    </w:p>
    <w:p w14:paraId="48197A6B" w14:textId="062AFD7B" w:rsidR="008D66D8" w:rsidRDefault="008D66D8" w:rsidP="008D66D8">
      <w:pPr>
        <w:jc w:val="center"/>
        <w:rPr>
          <w:rFonts w:ascii="Garamond" w:hAnsi="Garamond"/>
          <w:b/>
          <w:sz w:val="24"/>
          <w:szCs w:val="24"/>
        </w:rPr>
      </w:pPr>
      <w:r w:rsidRPr="008D66D8">
        <w:rPr>
          <w:rFonts w:ascii="Garamond" w:hAnsi="Garamond"/>
          <w:b/>
          <w:sz w:val="24"/>
          <w:szCs w:val="24"/>
        </w:rPr>
        <w:t>PROCEDIMIENTOS REALIZADOS</w:t>
      </w:r>
    </w:p>
    <w:p w14:paraId="7AB5ABCA" w14:textId="77777777" w:rsidR="008D66D8" w:rsidRDefault="008D66D8" w:rsidP="008D66D8">
      <w:pPr>
        <w:jc w:val="both"/>
        <w:rPr>
          <w:rFonts w:ascii="Garamond" w:hAnsi="Garamond"/>
          <w:i/>
          <w:sz w:val="24"/>
          <w:szCs w:val="24"/>
        </w:rPr>
      </w:pPr>
    </w:p>
    <w:p w14:paraId="054F3418" w14:textId="4A8E4147" w:rsidR="008D66D8" w:rsidRDefault="008D66D8" w:rsidP="008D66D8">
      <w:pPr>
        <w:jc w:val="both"/>
        <w:rPr>
          <w:rFonts w:ascii="Garamond" w:hAnsi="Garamond"/>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990"/>
      </w:tblGrid>
      <w:tr w:rsidR="008D66D8" w:rsidRPr="008D66D8" w14:paraId="226C1464" w14:textId="77777777" w:rsidTr="003E3EC2">
        <w:tc>
          <w:tcPr>
            <w:tcW w:w="4990" w:type="dxa"/>
            <w:tcBorders>
              <w:bottom w:val="single" w:sz="12" w:space="0" w:color="auto"/>
            </w:tcBorders>
          </w:tcPr>
          <w:p w14:paraId="130307C5" w14:textId="66FB015A" w:rsidR="008D66D8" w:rsidRPr="008D66D8" w:rsidRDefault="008D66D8" w:rsidP="00C13160">
            <w:pPr>
              <w:rPr>
                <w:rFonts w:ascii="Garamond" w:hAnsi="Garamond"/>
                <w:b/>
                <w:sz w:val="24"/>
                <w:szCs w:val="24"/>
              </w:rPr>
            </w:pPr>
            <w:r w:rsidRPr="008D66D8">
              <w:rPr>
                <w:rFonts w:ascii="Garamond" w:hAnsi="Garamond"/>
                <w:b/>
                <w:sz w:val="24"/>
                <w:szCs w:val="24"/>
              </w:rPr>
              <w:t>Requerimiento normativo</w:t>
            </w:r>
          </w:p>
        </w:tc>
        <w:tc>
          <w:tcPr>
            <w:tcW w:w="4990" w:type="dxa"/>
            <w:tcBorders>
              <w:bottom w:val="single" w:sz="12" w:space="0" w:color="auto"/>
            </w:tcBorders>
          </w:tcPr>
          <w:p w14:paraId="764DD187" w14:textId="4D7F485E" w:rsidR="008D66D8" w:rsidRPr="008D66D8" w:rsidRDefault="008D66D8" w:rsidP="00C13160">
            <w:pPr>
              <w:rPr>
                <w:rFonts w:ascii="Garamond" w:hAnsi="Garamond"/>
                <w:b/>
                <w:sz w:val="24"/>
                <w:szCs w:val="24"/>
              </w:rPr>
            </w:pPr>
            <w:r w:rsidRPr="008D66D8">
              <w:rPr>
                <w:rFonts w:ascii="Garamond" w:hAnsi="Garamond"/>
                <w:b/>
                <w:sz w:val="24"/>
                <w:szCs w:val="24"/>
              </w:rPr>
              <w:t>Procedimiento aplicado</w:t>
            </w:r>
          </w:p>
        </w:tc>
      </w:tr>
      <w:tr w:rsidR="008D66D8" w:rsidRPr="008D66D8" w14:paraId="19B2F5E1" w14:textId="77777777" w:rsidTr="003E3EC2">
        <w:tc>
          <w:tcPr>
            <w:tcW w:w="4990" w:type="dxa"/>
            <w:tcBorders>
              <w:top w:val="single" w:sz="12" w:space="0" w:color="auto"/>
            </w:tcBorders>
          </w:tcPr>
          <w:p w14:paraId="698686A0" w14:textId="77777777" w:rsidR="008D66D8" w:rsidRPr="008D66D8" w:rsidRDefault="008D66D8" w:rsidP="00C13160">
            <w:pPr>
              <w:rPr>
                <w:rFonts w:ascii="Garamond" w:hAnsi="Garamond"/>
                <w:sz w:val="24"/>
                <w:szCs w:val="24"/>
              </w:rPr>
            </w:pPr>
          </w:p>
        </w:tc>
        <w:tc>
          <w:tcPr>
            <w:tcW w:w="4990" w:type="dxa"/>
            <w:tcBorders>
              <w:top w:val="single" w:sz="12" w:space="0" w:color="auto"/>
            </w:tcBorders>
          </w:tcPr>
          <w:p w14:paraId="68E7A507" w14:textId="77777777" w:rsidR="008D66D8" w:rsidRPr="008D66D8" w:rsidRDefault="008D66D8" w:rsidP="00C13160">
            <w:pPr>
              <w:rPr>
                <w:rFonts w:ascii="Garamond" w:hAnsi="Garamond"/>
                <w:sz w:val="24"/>
                <w:szCs w:val="24"/>
              </w:rPr>
            </w:pPr>
          </w:p>
        </w:tc>
      </w:tr>
      <w:tr w:rsidR="008D66D8" w:rsidRPr="008D66D8" w14:paraId="03494B2B" w14:textId="77777777" w:rsidTr="003E3EC2">
        <w:tc>
          <w:tcPr>
            <w:tcW w:w="4990" w:type="dxa"/>
          </w:tcPr>
          <w:p w14:paraId="32D6C2C7" w14:textId="5C67D9FA" w:rsidR="008D66D8" w:rsidRPr="003E3EC2" w:rsidRDefault="008D66D8" w:rsidP="00C13160">
            <w:pPr>
              <w:rPr>
                <w:rFonts w:ascii="Garamond" w:hAnsi="Garamond"/>
                <w:b/>
                <w:i/>
                <w:sz w:val="24"/>
                <w:szCs w:val="24"/>
                <w:u w:val="single"/>
              </w:rPr>
            </w:pPr>
            <w:r w:rsidRPr="003E3EC2">
              <w:rPr>
                <w:rFonts w:ascii="Garamond" w:hAnsi="Garamond"/>
                <w:b/>
                <w:i/>
                <w:sz w:val="24"/>
                <w:szCs w:val="24"/>
                <w:u w:val="single"/>
              </w:rPr>
              <w:t>PROCEDIMIENTOS TRIMESTRALES</w:t>
            </w:r>
          </w:p>
        </w:tc>
        <w:tc>
          <w:tcPr>
            <w:tcW w:w="4990" w:type="dxa"/>
          </w:tcPr>
          <w:p w14:paraId="73FB1B0A" w14:textId="77777777" w:rsidR="008D66D8" w:rsidRPr="008D66D8" w:rsidRDefault="008D66D8" w:rsidP="00C13160">
            <w:pPr>
              <w:rPr>
                <w:rFonts w:ascii="Garamond" w:hAnsi="Garamond"/>
                <w:sz w:val="24"/>
                <w:szCs w:val="24"/>
              </w:rPr>
            </w:pPr>
          </w:p>
        </w:tc>
      </w:tr>
      <w:tr w:rsidR="008D66D8" w:rsidRPr="008D66D8" w14:paraId="2F0594A4" w14:textId="77777777" w:rsidTr="003E3EC2">
        <w:tc>
          <w:tcPr>
            <w:tcW w:w="4990" w:type="dxa"/>
          </w:tcPr>
          <w:p w14:paraId="5DE78FB0" w14:textId="77777777" w:rsidR="008D66D8" w:rsidRPr="008D66D8" w:rsidRDefault="008D66D8" w:rsidP="00C13160">
            <w:pPr>
              <w:rPr>
                <w:rFonts w:ascii="Garamond" w:hAnsi="Garamond"/>
                <w:sz w:val="24"/>
                <w:szCs w:val="24"/>
              </w:rPr>
            </w:pPr>
          </w:p>
        </w:tc>
        <w:tc>
          <w:tcPr>
            <w:tcW w:w="4990" w:type="dxa"/>
          </w:tcPr>
          <w:p w14:paraId="178045E1" w14:textId="77777777" w:rsidR="008D66D8" w:rsidRPr="008D66D8" w:rsidRDefault="008D66D8" w:rsidP="00C13160">
            <w:pPr>
              <w:rPr>
                <w:rFonts w:ascii="Garamond" w:hAnsi="Garamond"/>
                <w:sz w:val="24"/>
                <w:szCs w:val="24"/>
              </w:rPr>
            </w:pPr>
          </w:p>
        </w:tc>
      </w:tr>
      <w:tr w:rsidR="008D66D8" w:rsidRPr="008D66D8" w14:paraId="0100F950" w14:textId="77777777" w:rsidTr="003E3EC2">
        <w:tc>
          <w:tcPr>
            <w:tcW w:w="4990" w:type="dxa"/>
          </w:tcPr>
          <w:p w14:paraId="03BB8DA0" w14:textId="68C8CD7F" w:rsidR="008D66D8" w:rsidRPr="003E3EC2" w:rsidRDefault="008D66D8" w:rsidP="00C13160">
            <w:pPr>
              <w:rPr>
                <w:rFonts w:ascii="Garamond" w:hAnsi="Garamond"/>
                <w:b/>
              </w:rPr>
            </w:pPr>
            <w:r w:rsidRPr="003E3EC2">
              <w:rPr>
                <w:rFonts w:ascii="Garamond" w:hAnsi="Garamond"/>
                <w:b/>
              </w:rPr>
              <w:t>Circular SINAP 1. Sistema Nacional de Pagos</w:t>
            </w:r>
          </w:p>
        </w:tc>
        <w:tc>
          <w:tcPr>
            <w:tcW w:w="4990" w:type="dxa"/>
          </w:tcPr>
          <w:p w14:paraId="4D34E34E" w14:textId="77777777" w:rsidR="008D66D8" w:rsidRPr="003E3EC2" w:rsidRDefault="008D66D8" w:rsidP="00C13160">
            <w:pPr>
              <w:rPr>
                <w:rFonts w:ascii="Garamond" w:hAnsi="Garamond"/>
              </w:rPr>
            </w:pPr>
          </w:p>
        </w:tc>
      </w:tr>
      <w:tr w:rsidR="008D66D8" w:rsidRPr="008D66D8" w14:paraId="14360AE2" w14:textId="77777777" w:rsidTr="003E3EC2">
        <w:tc>
          <w:tcPr>
            <w:tcW w:w="4990" w:type="dxa"/>
          </w:tcPr>
          <w:p w14:paraId="27570CFB" w14:textId="77777777" w:rsidR="008D66D8" w:rsidRPr="003E3EC2" w:rsidRDefault="008D66D8" w:rsidP="00C13160">
            <w:pPr>
              <w:rPr>
                <w:rFonts w:ascii="Garamond" w:hAnsi="Garamond"/>
              </w:rPr>
            </w:pPr>
          </w:p>
        </w:tc>
        <w:tc>
          <w:tcPr>
            <w:tcW w:w="4990" w:type="dxa"/>
          </w:tcPr>
          <w:p w14:paraId="5199CC0E" w14:textId="77777777" w:rsidR="008D66D8" w:rsidRPr="003E3EC2" w:rsidRDefault="008D66D8" w:rsidP="00C13160">
            <w:pPr>
              <w:rPr>
                <w:rFonts w:ascii="Garamond" w:hAnsi="Garamond"/>
              </w:rPr>
            </w:pPr>
          </w:p>
        </w:tc>
      </w:tr>
      <w:tr w:rsidR="008D66D8" w:rsidRPr="008D66D8" w14:paraId="2E22C35B" w14:textId="77777777" w:rsidTr="003E3EC2">
        <w:tc>
          <w:tcPr>
            <w:tcW w:w="4990" w:type="dxa"/>
          </w:tcPr>
          <w:p w14:paraId="784C32C0" w14:textId="16FA67FB" w:rsidR="008D66D8" w:rsidRPr="003E3EC2" w:rsidRDefault="008D66D8" w:rsidP="00C13160">
            <w:pPr>
              <w:rPr>
                <w:rFonts w:ascii="Garamond" w:hAnsi="Garamond"/>
              </w:rPr>
            </w:pPr>
            <w:r w:rsidRPr="003E3EC2">
              <w:rPr>
                <w:rFonts w:ascii="Garamond" w:hAnsi="Garamond"/>
              </w:rPr>
              <w:t>1. Exclusiones</w:t>
            </w:r>
          </w:p>
        </w:tc>
        <w:tc>
          <w:tcPr>
            <w:tcW w:w="4990" w:type="dxa"/>
          </w:tcPr>
          <w:p w14:paraId="3BB5F019" w14:textId="0139F596" w:rsidR="008D66D8" w:rsidRPr="003E3EC2" w:rsidRDefault="008D66D8" w:rsidP="003E3EC2">
            <w:pPr>
              <w:pStyle w:val="Prrafodelista"/>
              <w:numPr>
                <w:ilvl w:val="0"/>
                <w:numId w:val="17"/>
              </w:numPr>
              <w:jc w:val="both"/>
              <w:rPr>
                <w:rFonts w:ascii="Garamond" w:hAnsi="Garamond"/>
              </w:rPr>
            </w:pPr>
            <w:r w:rsidRPr="003E3EC2">
              <w:rPr>
                <w:rFonts w:ascii="Garamond" w:hAnsi="Garamond"/>
              </w:rPr>
              <w:t>Corroborar que no existan miembros del órgano de administración y accionistas de la sociedad que estén alcanzados por las inhabilidades detalladas en la Ley de Entidades Fin</w:t>
            </w:r>
            <w:r w:rsidR="003E3EC2">
              <w:rPr>
                <w:rFonts w:ascii="Garamond" w:hAnsi="Garamond"/>
              </w:rPr>
              <w:t xml:space="preserve">ancieras, mediante el cotejo de </w:t>
            </w:r>
            <w:r w:rsidRPr="003E3EC2">
              <w:rPr>
                <w:rFonts w:ascii="Garamond" w:hAnsi="Garamond"/>
              </w:rPr>
              <w:t>declaraciones juradas firmadas por dichos funcionarios y presentadas al BCRA en oportunidad de la presentación de la información necesaria para la inscripción de la sociedad en el registro de proveedores de servicios de pago que ofrecen cuentas de pago.</w:t>
            </w:r>
          </w:p>
          <w:p w14:paraId="3CFC8FE6" w14:textId="77777777" w:rsidR="006629D9" w:rsidRPr="003E3EC2" w:rsidRDefault="006629D9" w:rsidP="003E3EC2">
            <w:pPr>
              <w:pStyle w:val="Prrafodelista"/>
              <w:ind w:left="720" w:firstLine="0"/>
              <w:jc w:val="both"/>
              <w:rPr>
                <w:rFonts w:ascii="Garamond" w:hAnsi="Garamond"/>
              </w:rPr>
            </w:pPr>
          </w:p>
          <w:p w14:paraId="0900F613" w14:textId="77777777" w:rsidR="008D66D8" w:rsidRPr="003E3EC2" w:rsidRDefault="008D66D8" w:rsidP="003E3EC2">
            <w:pPr>
              <w:pStyle w:val="Prrafodelista"/>
              <w:numPr>
                <w:ilvl w:val="0"/>
                <w:numId w:val="17"/>
              </w:numPr>
              <w:jc w:val="both"/>
              <w:rPr>
                <w:rFonts w:ascii="Garamond" w:hAnsi="Garamond"/>
              </w:rPr>
            </w:pPr>
            <w:r w:rsidRPr="003E3EC2">
              <w:rPr>
                <w:rFonts w:ascii="Garamond" w:hAnsi="Garamond"/>
              </w:rPr>
              <w:t>Corroborar que las personas humanas con el 20% (o más) del capital y/o votos de la persona jurídica o que por otros medios ejerzan el control final, directo o indirecto de la sociedad, hayan sido debidamente informadas en el registro correspondiente (punto 2.2.2.11., inc. i del Texto Ordenado) y cotejadas contra la información sobre la composición accionaria de la sociedad.</w:t>
            </w:r>
          </w:p>
          <w:p w14:paraId="04ECF8C5" w14:textId="77777777" w:rsidR="006629D9" w:rsidRPr="003E3EC2" w:rsidRDefault="006629D9" w:rsidP="00C13160">
            <w:pPr>
              <w:pStyle w:val="Prrafodelista"/>
              <w:rPr>
                <w:rFonts w:ascii="Garamond" w:hAnsi="Garamond"/>
              </w:rPr>
            </w:pPr>
          </w:p>
          <w:p w14:paraId="1E43E7DD" w14:textId="40293C74" w:rsidR="006629D9" w:rsidRPr="003E3EC2" w:rsidRDefault="006629D9" w:rsidP="00C13160">
            <w:pPr>
              <w:pStyle w:val="Prrafodelista"/>
              <w:ind w:left="720" w:firstLine="0"/>
              <w:rPr>
                <w:rFonts w:ascii="Garamond" w:hAnsi="Garamond"/>
              </w:rPr>
            </w:pPr>
          </w:p>
        </w:tc>
      </w:tr>
      <w:tr w:rsidR="008D66D8" w:rsidRPr="008D66D8" w14:paraId="3B47D541" w14:textId="77777777" w:rsidTr="007D3040">
        <w:tc>
          <w:tcPr>
            <w:tcW w:w="4990" w:type="dxa"/>
          </w:tcPr>
          <w:p w14:paraId="06AD4B23" w14:textId="2BDB00F8" w:rsidR="008D66D8" w:rsidRPr="003E3EC2" w:rsidRDefault="008D66D8" w:rsidP="00C13160">
            <w:pPr>
              <w:rPr>
                <w:rFonts w:ascii="Garamond" w:hAnsi="Garamond"/>
              </w:rPr>
            </w:pPr>
            <w:r w:rsidRPr="003E3EC2">
              <w:rPr>
                <w:rFonts w:ascii="Garamond" w:hAnsi="Garamond"/>
              </w:rPr>
              <w:t>2. Inscripción en el Registro de proveedores de servicios de pago</w:t>
            </w:r>
          </w:p>
        </w:tc>
        <w:tc>
          <w:tcPr>
            <w:tcW w:w="4990" w:type="dxa"/>
          </w:tcPr>
          <w:p w14:paraId="62F50799" w14:textId="77777777" w:rsidR="008D66D8" w:rsidRPr="003E3EC2" w:rsidRDefault="008D66D8" w:rsidP="003E3EC2">
            <w:pPr>
              <w:pStyle w:val="Prrafodelista"/>
              <w:numPr>
                <w:ilvl w:val="0"/>
                <w:numId w:val="18"/>
              </w:numPr>
              <w:jc w:val="both"/>
              <w:rPr>
                <w:rFonts w:ascii="Garamond" w:hAnsi="Garamond"/>
              </w:rPr>
            </w:pPr>
            <w:r w:rsidRPr="003E3EC2">
              <w:rPr>
                <w:rFonts w:ascii="Garamond" w:hAnsi="Garamond"/>
              </w:rPr>
              <w:t>Verificar la existencia del certificado de inscripción previsto del punto 2.3 de las normas sobre “Proveedores de servicios de pago” y corroborar que la sociedad se encuentre inscripta en el "Registro de proveedores de servicios de pago" publicado en el sitio web del B.C.R.A., como proveedor de servicio de pago que ofrece cuenta de pago.</w:t>
            </w:r>
          </w:p>
          <w:p w14:paraId="41281F5C" w14:textId="0559D961" w:rsidR="006629D9" w:rsidRPr="003E3EC2" w:rsidRDefault="006629D9" w:rsidP="003E3EC2">
            <w:pPr>
              <w:pStyle w:val="Prrafodelista"/>
              <w:ind w:left="720" w:firstLine="0"/>
              <w:jc w:val="both"/>
              <w:rPr>
                <w:rFonts w:ascii="Garamond" w:hAnsi="Garamond"/>
              </w:rPr>
            </w:pPr>
          </w:p>
        </w:tc>
      </w:tr>
      <w:tr w:rsidR="007D3040" w:rsidRPr="008D66D8" w14:paraId="2B06F4E2" w14:textId="77777777" w:rsidTr="007D3040">
        <w:tc>
          <w:tcPr>
            <w:tcW w:w="4990" w:type="dxa"/>
          </w:tcPr>
          <w:p w14:paraId="2E61F958" w14:textId="382C18A7" w:rsidR="007D3040" w:rsidRPr="003E3EC2" w:rsidRDefault="007D3040" w:rsidP="007D3040">
            <w:pPr>
              <w:rPr>
                <w:rFonts w:ascii="Garamond" w:hAnsi="Garamond"/>
              </w:rPr>
            </w:pPr>
            <w:r w:rsidRPr="003E3EC2">
              <w:rPr>
                <w:rFonts w:ascii="Garamond" w:hAnsi="Garamond"/>
              </w:rPr>
              <w:t>3. Designación de responsables de seguridad de</w:t>
            </w:r>
          </w:p>
          <w:p w14:paraId="7FA77297" w14:textId="77777777" w:rsidR="007D3040" w:rsidRPr="003E3EC2" w:rsidRDefault="007D3040" w:rsidP="007D3040">
            <w:pPr>
              <w:rPr>
                <w:rFonts w:ascii="Garamond" w:hAnsi="Garamond"/>
              </w:rPr>
            </w:pPr>
            <w:r w:rsidRPr="003E3EC2">
              <w:rPr>
                <w:rFonts w:ascii="Garamond" w:hAnsi="Garamond"/>
              </w:rPr>
              <w:t>datos (designado a los efectos del acceso a los</w:t>
            </w:r>
          </w:p>
          <w:p w14:paraId="55E411F3" w14:textId="77777777" w:rsidR="007D3040" w:rsidRPr="003E3EC2" w:rsidRDefault="007D3040" w:rsidP="007D3040">
            <w:pPr>
              <w:rPr>
                <w:rFonts w:ascii="Garamond" w:hAnsi="Garamond"/>
              </w:rPr>
            </w:pPr>
            <w:r w:rsidRPr="003E3EC2">
              <w:rPr>
                <w:rFonts w:ascii="Garamond" w:hAnsi="Garamond"/>
              </w:rPr>
              <w:t>entornos informáticos de sitios de Internet del</w:t>
            </w:r>
          </w:p>
          <w:p w14:paraId="2991844D" w14:textId="77777777" w:rsidR="007D3040" w:rsidRPr="003E3EC2" w:rsidRDefault="007D3040" w:rsidP="007D3040">
            <w:pPr>
              <w:rPr>
                <w:rFonts w:ascii="Garamond" w:hAnsi="Garamond"/>
              </w:rPr>
            </w:pPr>
            <w:r w:rsidRPr="003E3EC2">
              <w:rPr>
                <w:rFonts w:ascii="Garamond" w:hAnsi="Garamond"/>
              </w:rPr>
              <w:t>BCRA), vigilancia de sistemas de pago, y régimen</w:t>
            </w:r>
          </w:p>
          <w:p w14:paraId="4DCCE75E" w14:textId="28459BB8" w:rsidR="007D3040" w:rsidRPr="003E3EC2" w:rsidRDefault="007D3040" w:rsidP="007D3040">
            <w:pPr>
              <w:rPr>
                <w:rFonts w:ascii="Garamond" w:hAnsi="Garamond"/>
              </w:rPr>
            </w:pPr>
            <w:r w:rsidRPr="003E3EC2">
              <w:rPr>
                <w:rFonts w:ascii="Garamond" w:hAnsi="Garamond"/>
              </w:rPr>
              <w:t>informativo</w:t>
            </w:r>
          </w:p>
        </w:tc>
        <w:tc>
          <w:tcPr>
            <w:tcW w:w="4990" w:type="dxa"/>
          </w:tcPr>
          <w:p w14:paraId="19BAB952" w14:textId="77777777" w:rsidR="007D3040" w:rsidRPr="003E3EC2" w:rsidRDefault="007D3040" w:rsidP="007D3040">
            <w:pPr>
              <w:pStyle w:val="Prrafodelista"/>
              <w:numPr>
                <w:ilvl w:val="0"/>
                <w:numId w:val="18"/>
              </w:numPr>
              <w:jc w:val="both"/>
              <w:rPr>
                <w:rFonts w:ascii="Garamond" w:hAnsi="Garamond"/>
              </w:rPr>
            </w:pPr>
            <w:r w:rsidRPr="003E3EC2">
              <w:rPr>
                <w:rFonts w:ascii="Garamond" w:hAnsi="Garamond"/>
              </w:rPr>
              <w:t>Verificar que la sociedad haya designado formalmente los responsables de seguridad de datos, vigilancia de sistemas de pago y régimen informativo a través del aplicativo habilitado por el B.C.R.A y su correspondiente designación en actas del órgano de dirección. Cotejo con el organigrama actualizado y manual de funciones de la sociedad, a efectos de chequear que dichas designaciones se mantienen vigentes.</w:t>
            </w:r>
          </w:p>
          <w:p w14:paraId="48D4E94C" w14:textId="6D315C9C" w:rsidR="007D3040" w:rsidRPr="003E3EC2" w:rsidRDefault="007D3040" w:rsidP="007D3040">
            <w:pPr>
              <w:pStyle w:val="Prrafodelista"/>
              <w:ind w:left="720" w:firstLine="0"/>
              <w:jc w:val="both"/>
              <w:rPr>
                <w:rFonts w:ascii="Garamond" w:hAnsi="Garamond"/>
              </w:rPr>
            </w:pPr>
          </w:p>
        </w:tc>
      </w:tr>
      <w:tr w:rsidR="007D3040" w:rsidRPr="008D66D8" w14:paraId="33881C54" w14:textId="77777777" w:rsidTr="003E3EC2">
        <w:tc>
          <w:tcPr>
            <w:tcW w:w="4990" w:type="dxa"/>
          </w:tcPr>
          <w:p w14:paraId="0B01BC09" w14:textId="65478806" w:rsidR="007D3040" w:rsidRPr="003E3EC2" w:rsidRDefault="007D3040" w:rsidP="007D3040">
            <w:pPr>
              <w:rPr>
                <w:rFonts w:ascii="Garamond" w:hAnsi="Garamond"/>
              </w:rPr>
            </w:pPr>
            <w:r w:rsidRPr="003E3EC2">
              <w:rPr>
                <w:rFonts w:ascii="Garamond" w:hAnsi="Garamond"/>
              </w:rPr>
              <w:t>4. Actualización de información</w:t>
            </w:r>
          </w:p>
        </w:tc>
        <w:tc>
          <w:tcPr>
            <w:tcW w:w="4990" w:type="dxa"/>
          </w:tcPr>
          <w:p w14:paraId="5263B779" w14:textId="4527A34C" w:rsidR="007D3040" w:rsidRPr="003E3EC2" w:rsidRDefault="007D3040" w:rsidP="007D3040">
            <w:pPr>
              <w:pStyle w:val="Prrafodelista"/>
              <w:numPr>
                <w:ilvl w:val="0"/>
                <w:numId w:val="18"/>
              </w:numPr>
              <w:jc w:val="both"/>
              <w:rPr>
                <w:rFonts w:ascii="Garamond" w:hAnsi="Garamond"/>
              </w:rPr>
            </w:pPr>
            <w:r w:rsidRPr="003E3EC2">
              <w:rPr>
                <w:rFonts w:ascii="Garamond" w:hAnsi="Garamond"/>
              </w:rPr>
              <w:t xml:space="preserve">Controlar que la información presentada al </w:t>
            </w:r>
            <w:r w:rsidRPr="003E3EC2">
              <w:rPr>
                <w:rFonts w:ascii="Garamond" w:hAnsi="Garamond"/>
              </w:rPr>
              <w:lastRenderedPageBreak/>
              <w:t>BCRA en el marco de la inscripción se encuentre correctamente informada y debidamente actualizada.</w:t>
            </w:r>
          </w:p>
          <w:p w14:paraId="401C9307" w14:textId="77777777" w:rsidR="007D3040" w:rsidRPr="003E3EC2" w:rsidRDefault="007D3040" w:rsidP="007D3040">
            <w:pPr>
              <w:pStyle w:val="Prrafodelista"/>
              <w:ind w:left="720" w:firstLine="0"/>
              <w:jc w:val="both"/>
              <w:rPr>
                <w:rFonts w:ascii="Garamond" w:hAnsi="Garamond"/>
              </w:rPr>
            </w:pPr>
            <w:r w:rsidRPr="003E3EC2">
              <w:rPr>
                <w:rFonts w:ascii="Garamond" w:hAnsi="Garamond"/>
              </w:rPr>
              <w:t>Corroborar que la documentación señalada cubre los puntos establecidos por la normativa del BCRA (servicios de pago que serán provistos y los medios de pago que involucra; cuentas de pago que ofrezca, incluyendo términos y condiciones específicas incluyendo la utilización de CVU; esquemas de pago en los que cumpla la función de administrador, incluyendo la declaración de todos sus participantes; esquemas de pago en los que participe en una función diferente a la de administrador, especificando las funciones que asuma en cada caso; modos de retribución de fondos en caso de ser ello requerido o cesar la actividad, entre otros).</w:t>
            </w:r>
          </w:p>
          <w:p w14:paraId="5C974D94" w14:textId="2B6440F4" w:rsidR="007D3040" w:rsidRPr="003E3EC2" w:rsidRDefault="007D3040" w:rsidP="007D3040">
            <w:pPr>
              <w:rPr>
                <w:rFonts w:ascii="Garamond" w:hAnsi="Garamond"/>
              </w:rPr>
            </w:pPr>
          </w:p>
        </w:tc>
      </w:tr>
      <w:tr w:rsidR="007D3040" w:rsidRPr="008D66D8" w14:paraId="53B41293" w14:textId="77777777" w:rsidTr="003E3EC2">
        <w:tc>
          <w:tcPr>
            <w:tcW w:w="4990" w:type="dxa"/>
          </w:tcPr>
          <w:p w14:paraId="2B77B157" w14:textId="416B90E6" w:rsidR="007D3040" w:rsidRPr="003E3EC2" w:rsidRDefault="007D3040" w:rsidP="007D3040">
            <w:r w:rsidRPr="003E3EC2">
              <w:rPr>
                <w:rFonts w:ascii="Garamond" w:hAnsi="Garamond"/>
              </w:rPr>
              <w:lastRenderedPageBreak/>
              <w:t>5.</w:t>
            </w:r>
            <w:r w:rsidRPr="003E3EC2">
              <w:t xml:space="preserve"> </w:t>
            </w:r>
            <w:r w:rsidRPr="003E3EC2">
              <w:rPr>
                <w:rFonts w:ascii="Garamond" w:hAnsi="Garamond"/>
              </w:rPr>
              <w:t>Transparencia</w:t>
            </w:r>
          </w:p>
        </w:tc>
        <w:tc>
          <w:tcPr>
            <w:tcW w:w="4990" w:type="dxa"/>
          </w:tcPr>
          <w:p w14:paraId="35ABF364" w14:textId="52ABADFC" w:rsidR="007D3040" w:rsidRPr="003E3EC2" w:rsidRDefault="007D3040" w:rsidP="007D3040">
            <w:pPr>
              <w:pStyle w:val="Prrafodelista"/>
              <w:numPr>
                <w:ilvl w:val="0"/>
                <w:numId w:val="18"/>
              </w:numPr>
              <w:jc w:val="both"/>
              <w:rPr>
                <w:rFonts w:ascii="Garamond" w:hAnsi="Garamond"/>
              </w:rPr>
            </w:pPr>
            <w:r w:rsidRPr="003E3EC2">
              <w:rPr>
                <w:rFonts w:ascii="Garamond" w:hAnsi="Garamond"/>
              </w:rPr>
              <w:t>Verificar que la sociedad manifieste en su sitio de internet, en las redes (Facebook, Twitter, Instagram, etc.), en publicidades (televisivas, medios gráficos, etc.) y en la documentación emitida (términos y condiciones, descripción operativa y comercial, etc.) que: (i) se limita a ofrecer servicios de pago y no se encuentra autorizada a operar como entidad financiera por el B.C.R.A., y (ii) que los fondos depositados en cuentas de pago no constituyen depósitos en una entidad financiera, ni cuentan con ninguna de las garantías que tales depósitos puedan gozar de acuerdo con la legislación y reglamentación aplicables en materia de depósitos en entidades financieras.</w:t>
            </w:r>
          </w:p>
          <w:p w14:paraId="1F3E9170" w14:textId="77777777" w:rsidR="007D3040" w:rsidRPr="003E3EC2" w:rsidRDefault="007D3040" w:rsidP="007D3040">
            <w:pPr>
              <w:pStyle w:val="Prrafodelista"/>
              <w:ind w:left="720" w:firstLine="0"/>
              <w:jc w:val="both"/>
              <w:rPr>
                <w:rFonts w:ascii="Garamond" w:hAnsi="Garamond"/>
              </w:rPr>
            </w:pPr>
          </w:p>
          <w:p w14:paraId="1D18FCBC" w14:textId="10A2FAEE" w:rsidR="007D3040" w:rsidRPr="007D3040" w:rsidRDefault="007D3040" w:rsidP="007D3040">
            <w:pPr>
              <w:pStyle w:val="Prrafodelista"/>
              <w:numPr>
                <w:ilvl w:val="0"/>
                <w:numId w:val="18"/>
              </w:numPr>
              <w:jc w:val="both"/>
              <w:rPr>
                <w:rFonts w:ascii="Garamond" w:hAnsi="Garamond"/>
              </w:rPr>
            </w:pPr>
            <w:r w:rsidRPr="003E3EC2">
              <w:rPr>
                <w:rFonts w:ascii="Garamond" w:hAnsi="Garamond"/>
              </w:rPr>
              <w:t>Verificar, además, que en los documentos y publicaciones no se incluyan otras afirmaciones o comentarios que puedan dar lugar a una errónea interpretación de que las cuentas de pago constituyen depósitos en una entidad financiera, o que poseen características similares a estos.</w:t>
            </w:r>
          </w:p>
          <w:p w14:paraId="29DB0DFB" w14:textId="3E5E36F3" w:rsidR="007D3040" w:rsidRPr="003E3EC2" w:rsidRDefault="007D3040" w:rsidP="007D3040">
            <w:pPr>
              <w:pStyle w:val="Prrafodelista"/>
              <w:ind w:left="720" w:firstLine="0"/>
              <w:jc w:val="both"/>
              <w:rPr>
                <w:rFonts w:ascii="Garamond" w:hAnsi="Garamond"/>
              </w:rPr>
            </w:pPr>
          </w:p>
        </w:tc>
      </w:tr>
      <w:tr w:rsidR="007D3040" w:rsidRPr="008D66D8" w14:paraId="52BF0BCC" w14:textId="77777777" w:rsidTr="003E3EC2">
        <w:tc>
          <w:tcPr>
            <w:tcW w:w="4990" w:type="dxa"/>
          </w:tcPr>
          <w:p w14:paraId="045D7EF7" w14:textId="2977039F" w:rsidR="007D3040" w:rsidRPr="003E3EC2" w:rsidRDefault="007D3040" w:rsidP="007D3040">
            <w:pPr>
              <w:rPr>
                <w:rFonts w:ascii="Garamond" w:hAnsi="Garamond"/>
              </w:rPr>
            </w:pPr>
            <w:r w:rsidRPr="003E3EC2">
              <w:rPr>
                <w:rFonts w:ascii="Garamond" w:hAnsi="Garamond"/>
              </w:rPr>
              <w:t>6. Transferencias</w:t>
            </w:r>
          </w:p>
        </w:tc>
        <w:tc>
          <w:tcPr>
            <w:tcW w:w="4990" w:type="dxa"/>
          </w:tcPr>
          <w:p w14:paraId="3B029770" w14:textId="02602283" w:rsidR="007D3040" w:rsidRPr="003E3EC2" w:rsidRDefault="007D3040" w:rsidP="007D3040">
            <w:pPr>
              <w:pStyle w:val="Prrafodelista"/>
              <w:numPr>
                <w:ilvl w:val="0"/>
                <w:numId w:val="19"/>
              </w:numPr>
              <w:jc w:val="both"/>
              <w:rPr>
                <w:rFonts w:ascii="Garamond" w:hAnsi="Garamond"/>
              </w:rPr>
            </w:pPr>
            <w:r w:rsidRPr="003E3EC2">
              <w:rPr>
                <w:rFonts w:ascii="Garamond" w:hAnsi="Garamond"/>
              </w:rPr>
              <w:t>Constatar el cumplimiento de las obligaciones establecidas en las normas "Sistema Nacional de Pagos. Transferencias" y "Sistema Nacional de Pagos – Transferencias – normas complementarias”, en relación con transferencias inmediatas.</w:t>
            </w:r>
          </w:p>
          <w:p w14:paraId="3D18BF8D" w14:textId="77777777" w:rsidR="007D3040" w:rsidRPr="003E3EC2" w:rsidRDefault="007D3040" w:rsidP="007D3040">
            <w:pPr>
              <w:pStyle w:val="Prrafodelista"/>
              <w:ind w:left="720" w:firstLine="0"/>
              <w:jc w:val="both"/>
              <w:rPr>
                <w:rFonts w:ascii="Garamond" w:hAnsi="Garamond"/>
              </w:rPr>
            </w:pPr>
          </w:p>
          <w:p w14:paraId="686B58CE" w14:textId="79795465" w:rsidR="007D3040" w:rsidRPr="003E3EC2" w:rsidRDefault="007D3040" w:rsidP="007D3040">
            <w:pPr>
              <w:pStyle w:val="Prrafodelista"/>
              <w:numPr>
                <w:ilvl w:val="0"/>
                <w:numId w:val="22"/>
              </w:numPr>
              <w:jc w:val="both"/>
              <w:rPr>
                <w:rFonts w:ascii="Garamond" w:hAnsi="Garamond"/>
              </w:rPr>
            </w:pPr>
            <w:r w:rsidRPr="003E3EC2">
              <w:rPr>
                <w:rFonts w:ascii="Garamond" w:hAnsi="Garamond"/>
              </w:rPr>
              <w:t xml:space="preserve">Indagar, inspeccionar y/o solicitar reportes, informes o esquemas de monitoreo que demuestren la disponibilidad en todas sus </w:t>
            </w:r>
            <w:proofErr w:type="spellStart"/>
            <w:r w:rsidRPr="003E3EC2">
              <w:rPr>
                <w:rFonts w:ascii="Garamond" w:hAnsi="Garamond"/>
              </w:rPr>
              <w:t>interfases</w:t>
            </w:r>
            <w:proofErr w:type="spellEnd"/>
            <w:r w:rsidRPr="003E3EC2">
              <w:rPr>
                <w:rFonts w:ascii="Garamond" w:hAnsi="Garamond"/>
              </w:rPr>
              <w:t xml:space="preserve"> (ej. plataforma web, billetera) transferencias inmediatas las 24 horas del día y los 365 días del año.</w:t>
            </w:r>
          </w:p>
          <w:p w14:paraId="3EA7A52C" w14:textId="77777777" w:rsidR="007D3040" w:rsidRPr="003E3EC2" w:rsidRDefault="007D3040" w:rsidP="007D3040">
            <w:pPr>
              <w:pStyle w:val="Prrafodelista"/>
              <w:ind w:left="1080" w:firstLine="0"/>
              <w:jc w:val="both"/>
              <w:rPr>
                <w:rFonts w:ascii="Garamond" w:hAnsi="Garamond"/>
              </w:rPr>
            </w:pPr>
          </w:p>
          <w:p w14:paraId="0016F3AF" w14:textId="407853D7" w:rsidR="007D3040" w:rsidRPr="003E3EC2" w:rsidRDefault="007D3040" w:rsidP="007D3040">
            <w:pPr>
              <w:pStyle w:val="Prrafodelista"/>
              <w:numPr>
                <w:ilvl w:val="0"/>
                <w:numId w:val="22"/>
              </w:numPr>
              <w:jc w:val="both"/>
              <w:rPr>
                <w:rFonts w:ascii="Garamond" w:hAnsi="Garamond"/>
              </w:rPr>
            </w:pPr>
            <w:r w:rsidRPr="003E3EC2">
              <w:rPr>
                <w:rFonts w:ascii="Garamond" w:hAnsi="Garamond"/>
              </w:rPr>
              <w:t xml:space="preserve">Indagar, inspeccionar y/o solicitar soportes </w:t>
            </w:r>
            <w:r w:rsidRPr="003E3EC2">
              <w:rPr>
                <w:rFonts w:ascii="Garamond" w:hAnsi="Garamond"/>
              </w:rPr>
              <w:lastRenderedPageBreak/>
              <w:t>de las parametrizaciones del sistema de transferencias inmediatas de la sociedad, con el fin de verificar la correcta aplicación de límites mínimos conforme a lo establecido en la Sección 6. de las normas "Sistema Nacional de Pagos – Transferencias – normas complementarias".</w:t>
            </w:r>
          </w:p>
          <w:p w14:paraId="08BA316A" w14:textId="77777777" w:rsidR="007D3040" w:rsidRPr="003E3EC2" w:rsidRDefault="007D3040" w:rsidP="007D3040">
            <w:pPr>
              <w:pStyle w:val="Prrafodelista"/>
              <w:jc w:val="both"/>
              <w:rPr>
                <w:rFonts w:ascii="Garamond" w:hAnsi="Garamond"/>
              </w:rPr>
            </w:pPr>
          </w:p>
          <w:p w14:paraId="63352430" w14:textId="77777777" w:rsidR="007D3040" w:rsidRPr="003E3EC2" w:rsidRDefault="007D3040" w:rsidP="007D3040">
            <w:pPr>
              <w:pStyle w:val="Prrafodelista"/>
              <w:ind w:left="1080" w:firstLine="0"/>
              <w:jc w:val="both"/>
              <w:rPr>
                <w:rFonts w:ascii="Garamond" w:hAnsi="Garamond"/>
              </w:rPr>
            </w:pPr>
          </w:p>
          <w:p w14:paraId="217A67CE" w14:textId="6CEA6B8E" w:rsidR="007D3040" w:rsidRPr="003E3EC2" w:rsidRDefault="007D3040" w:rsidP="007D3040">
            <w:pPr>
              <w:pStyle w:val="Prrafodelista"/>
              <w:numPr>
                <w:ilvl w:val="0"/>
                <w:numId w:val="22"/>
              </w:numPr>
              <w:jc w:val="both"/>
              <w:rPr>
                <w:rFonts w:ascii="Garamond" w:hAnsi="Garamond"/>
              </w:rPr>
            </w:pPr>
            <w:r w:rsidRPr="003E3EC2">
              <w:rPr>
                <w:rFonts w:ascii="Garamond" w:hAnsi="Garamond"/>
              </w:rPr>
              <w:t>Efectuar sobre una muestra de operaciones de transferencias inmediatas las siguientes validaciones, tanto en el origen como en el destino de las transferencias:</w:t>
            </w:r>
          </w:p>
          <w:p w14:paraId="782D1E9E" w14:textId="77777777" w:rsidR="007D3040" w:rsidRPr="003E3EC2" w:rsidRDefault="007D3040" w:rsidP="007D3040">
            <w:pPr>
              <w:pStyle w:val="Prrafodelista"/>
              <w:ind w:left="1080" w:firstLine="0"/>
              <w:jc w:val="both"/>
              <w:rPr>
                <w:rFonts w:ascii="Garamond" w:hAnsi="Garamond"/>
              </w:rPr>
            </w:pPr>
          </w:p>
          <w:p w14:paraId="3B0B03B9" w14:textId="75FC934C" w:rsidR="007D3040" w:rsidRPr="003E3EC2" w:rsidRDefault="007D3040" w:rsidP="007D3040">
            <w:pPr>
              <w:pStyle w:val="Prrafodelista"/>
              <w:numPr>
                <w:ilvl w:val="0"/>
                <w:numId w:val="23"/>
              </w:numPr>
              <w:jc w:val="both"/>
              <w:rPr>
                <w:rFonts w:ascii="Garamond" w:hAnsi="Garamond"/>
              </w:rPr>
            </w:pPr>
            <w:r w:rsidRPr="003E3EC2">
              <w:rPr>
                <w:rFonts w:ascii="Garamond" w:hAnsi="Garamond"/>
              </w:rPr>
              <w:t>Plazos de acreditación: validar la resolución de cada transferencia inmediata verificando que misma deberá realizarse en no más de 15 segundos, incluyendo las notificaciones de confirmación o rechazo a los clientes ordenantes y receptores, conforme a lo requerido en el punto 2.5. de las normas sobre “Sistema Nacional de Pagos – Transferencias – normas complementarias”.</w:t>
            </w:r>
          </w:p>
          <w:p w14:paraId="75ABCD35" w14:textId="77777777" w:rsidR="007D3040" w:rsidRPr="003E3EC2" w:rsidRDefault="007D3040" w:rsidP="007D3040">
            <w:pPr>
              <w:pStyle w:val="Prrafodelista"/>
              <w:ind w:left="720" w:firstLine="0"/>
              <w:jc w:val="both"/>
              <w:rPr>
                <w:rFonts w:ascii="Garamond" w:hAnsi="Garamond"/>
              </w:rPr>
            </w:pPr>
          </w:p>
          <w:p w14:paraId="2A49BE76" w14:textId="5AEC5B2B" w:rsidR="007D3040" w:rsidRPr="003E3EC2" w:rsidRDefault="007D3040" w:rsidP="007D3040">
            <w:pPr>
              <w:pStyle w:val="Prrafodelista"/>
              <w:numPr>
                <w:ilvl w:val="0"/>
                <w:numId w:val="23"/>
              </w:numPr>
              <w:jc w:val="both"/>
              <w:rPr>
                <w:rFonts w:ascii="Garamond" w:hAnsi="Garamond"/>
              </w:rPr>
            </w:pPr>
            <w:r w:rsidRPr="003E3EC2">
              <w:rPr>
                <w:rFonts w:ascii="Garamond" w:hAnsi="Garamond"/>
              </w:rPr>
              <w:t>Referencias unívocas: verificar, para una muestra de operaciones, que las transferencias inmediatas posean las descripciones e información detalladas en la Sección 3 de las normas "Sistema Nacional de Pagos – Transferencias.</w:t>
            </w:r>
          </w:p>
          <w:p w14:paraId="1A3E01EA" w14:textId="77777777" w:rsidR="007D3040" w:rsidRPr="003E3EC2" w:rsidRDefault="007D3040" w:rsidP="007D3040">
            <w:pPr>
              <w:pStyle w:val="Prrafodelista"/>
              <w:jc w:val="both"/>
              <w:rPr>
                <w:rFonts w:ascii="Garamond" w:hAnsi="Garamond"/>
              </w:rPr>
            </w:pPr>
          </w:p>
          <w:p w14:paraId="387276A2" w14:textId="77777777" w:rsidR="007D3040" w:rsidRPr="003E3EC2" w:rsidRDefault="007D3040" w:rsidP="007D3040">
            <w:pPr>
              <w:pStyle w:val="Prrafodelista"/>
              <w:ind w:left="720" w:firstLine="0"/>
              <w:jc w:val="both"/>
              <w:rPr>
                <w:rFonts w:ascii="Garamond" w:hAnsi="Garamond"/>
              </w:rPr>
            </w:pPr>
          </w:p>
          <w:p w14:paraId="47990475" w14:textId="32E321B2" w:rsidR="007D3040" w:rsidRPr="003E3EC2" w:rsidRDefault="007D3040" w:rsidP="007D3040">
            <w:pPr>
              <w:pStyle w:val="Prrafodelista"/>
              <w:numPr>
                <w:ilvl w:val="0"/>
                <w:numId w:val="22"/>
              </w:numPr>
              <w:jc w:val="both"/>
              <w:rPr>
                <w:rFonts w:ascii="Garamond" w:hAnsi="Garamond"/>
              </w:rPr>
            </w:pPr>
            <w:r w:rsidRPr="003E3EC2">
              <w:rPr>
                <w:rFonts w:ascii="Garamond" w:hAnsi="Garamond"/>
              </w:rPr>
              <w:t>Indagar, inspeccionar y/o solicitar reportes o informes transaccionales donde se pueda identificar los elementos que origina una posible falla y que permitan tomar acciones correctivas preestablecidas en cada caso y dejar la transacción resuelta de forma inmediata.</w:t>
            </w:r>
          </w:p>
          <w:p w14:paraId="4E907770" w14:textId="77777777" w:rsidR="007D3040" w:rsidRPr="003E3EC2" w:rsidRDefault="007D3040" w:rsidP="007D3040">
            <w:pPr>
              <w:pStyle w:val="Prrafodelista"/>
              <w:ind w:left="1080" w:firstLine="0"/>
              <w:jc w:val="both"/>
              <w:rPr>
                <w:rFonts w:ascii="Garamond" w:hAnsi="Garamond"/>
              </w:rPr>
            </w:pPr>
          </w:p>
          <w:p w14:paraId="0883C054" w14:textId="1742F25C" w:rsidR="007D3040" w:rsidRPr="003E3EC2" w:rsidRDefault="007D3040" w:rsidP="007D3040">
            <w:pPr>
              <w:pStyle w:val="Prrafodelista"/>
              <w:numPr>
                <w:ilvl w:val="0"/>
                <w:numId w:val="22"/>
              </w:numPr>
              <w:jc w:val="both"/>
              <w:rPr>
                <w:rFonts w:ascii="Garamond" w:hAnsi="Garamond"/>
              </w:rPr>
            </w:pPr>
            <w:r w:rsidRPr="003E3EC2">
              <w:rPr>
                <w:rFonts w:ascii="Garamond" w:hAnsi="Garamond"/>
              </w:rPr>
              <w:t>Indagar, inspeccionar y/o solicitar reportes o informes tecnológicos que permitan validar la disponibilidad de los canales electrónicos que soportan las opciones de transferencia inmediata y verificar que registren una disponibilidad mínima del 99,92 % del tiempo en línea.</w:t>
            </w:r>
          </w:p>
          <w:p w14:paraId="2211247A" w14:textId="77777777" w:rsidR="007D3040" w:rsidRPr="003E3EC2" w:rsidRDefault="007D3040" w:rsidP="007D3040">
            <w:pPr>
              <w:pStyle w:val="Prrafodelista"/>
              <w:jc w:val="both"/>
              <w:rPr>
                <w:rFonts w:ascii="Garamond" w:hAnsi="Garamond"/>
              </w:rPr>
            </w:pPr>
          </w:p>
          <w:p w14:paraId="7E5871C2" w14:textId="77777777" w:rsidR="007D3040" w:rsidRPr="003E3EC2" w:rsidRDefault="007D3040" w:rsidP="007D3040">
            <w:pPr>
              <w:pStyle w:val="Prrafodelista"/>
              <w:ind w:left="1080" w:firstLine="0"/>
              <w:jc w:val="both"/>
              <w:rPr>
                <w:rFonts w:ascii="Garamond" w:hAnsi="Garamond"/>
              </w:rPr>
            </w:pPr>
          </w:p>
          <w:p w14:paraId="621E73E9" w14:textId="77777777" w:rsidR="007D3040" w:rsidRPr="003E3EC2" w:rsidRDefault="007D3040" w:rsidP="007D3040">
            <w:pPr>
              <w:pStyle w:val="Prrafodelista"/>
              <w:numPr>
                <w:ilvl w:val="0"/>
                <w:numId w:val="22"/>
              </w:numPr>
              <w:jc w:val="both"/>
              <w:rPr>
                <w:rFonts w:ascii="Garamond" w:hAnsi="Garamond"/>
              </w:rPr>
            </w:pPr>
            <w:r w:rsidRPr="003E3EC2">
              <w:rPr>
                <w:rFonts w:ascii="Garamond" w:hAnsi="Garamond"/>
              </w:rPr>
              <w:t xml:space="preserve">Si el PSPCP ofrece a sus clientes la posibilidad de leer códigos QR para efectuar pagos con transferencia, verificar en una muestra de operaciones reales y exitosas en comercios que sus sistemas están habilitados para la lectura de los códigos QR de cualquier marca (siempre que se trate de aceptadores registrados ante el BCRA), sin discriminación (punto 3.2.6. las normas </w:t>
            </w:r>
            <w:r w:rsidRPr="003E3EC2">
              <w:rPr>
                <w:rFonts w:ascii="Garamond" w:hAnsi="Garamond"/>
              </w:rPr>
              <w:lastRenderedPageBreak/>
              <w:t>sobre “Sistema Nacional de Pagos – Transferencias – Normas complementarias”).</w:t>
            </w:r>
          </w:p>
          <w:p w14:paraId="11DC7D49" w14:textId="1438CD08" w:rsidR="007D3040" w:rsidRPr="003E3EC2" w:rsidRDefault="007D3040" w:rsidP="007D3040">
            <w:pPr>
              <w:pStyle w:val="Prrafodelista"/>
              <w:ind w:left="1080" w:firstLine="0"/>
              <w:jc w:val="both"/>
              <w:rPr>
                <w:rFonts w:ascii="Garamond" w:hAnsi="Garamond"/>
              </w:rPr>
            </w:pPr>
          </w:p>
        </w:tc>
      </w:tr>
      <w:tr w:rsidR="007D3040" w:rsidRPr="008D66D8" w14:paraId="20C9FE05" w14:textId="77777777" w:rsidTr="003E3EC2">
        <w:tc>
          <w:tcPr>
            <w:tcW w:w="4990" w:type="dxa"/>
          </w:tcPr>
          <w:p w14:paraId="04E8172A" w14:textId="1D5F68B1" w:rsidR="007D3040" w:rsidRPr="003E3EC2" w:rsidRDefault="007D3040" w:rsidP="007D3040">
            <w:pPr>
              <w:rPr>
                <w:rFonts w:ascii="Garamond" w:hAnsi="Garamond"/>
              </w:rPr>
            </w:pPr>
            <w:r w:rsidRPr="003E3EC2">
              <w:rPr>
                <w:rFonts w:ascii="Garamond" w:hAnsi="Garamond"/>
              </w:rPr>
              <w:lastRenderedPageBreak/>
              <w:t>7. Servicios de pago</w:t>
            </w:r>
          </w:p>
        </w:tc>
        <w:tc>
          <w:tcPr>
            <w:tcW w:w="4990" w:type="dxa"/>
          </w:tcPr>
          <w:p w14:paraId="6E5BA19E" w14:textId="4551A0D7" w:rsidR="007D3040" w:rsidRPr="003E3EC2" w:rsidRDefault="007D3040" w:rsidP="007D3040">
            <w:pPr>
              <w:pStyle w:val="Prrafodelista"/>
              <w:numPr>
                <w:ilvl w:val="0"/>
                <w:numId w:val="25"/>
              </w:numPr>
              <w:jc w:val="both"/>
              <w:rPr>
                <w:rFonts w:ascii="Garamond" w:hAnsi="Garamond"/>
              </w:rPr>
            </w:pPr>
            <w:r w:rsidRPr="003E3EC2">
              <w:rPr>
                <w:rFonts w:ascii="Garamond" w:hAnsi="Garamond"/>
              </w:rPr>
              <w:t>Verificar, por medio de una muestra de cuentas tanto de personas humanas como jurídicas, que cuenten al menos con una CVU asociada y que esta pueda ser utilizada para la recepción de transferencias inmediatas de fondos.</w:t>
            </w:r>
          </w:p>
          <w:p w14:paraId="679420DC" w14:textId="77777777" w:rsidR="007D3040" w:rsidRPr="003E3EC2" w:rsidRDefault="007D3040" w:rsidP="007D3040">
            <w:pPr>
              <w:pStyle w:val="Prrafodelista"/>
              <w:ind w:left="720" w:firstLine="0"/>
              <w:jc w:val="both"/>
              <w:rPr>
                <w:rFonts w:ascii="Garamond" w:hAnsi="Garamond"/>
              </w:rPr>
            </w:pPr>
          </w:p>
          <w:p w14:paraId="1AF0F4A5" w14:textId="38BD8013" w:rsidR="007D3040" w:rsidRPr="003E3EC2" w:rsidRDefault="007D3040" w:rsidP="007D3040">
            <w:pPr>
              <w:pStyle w:val="Prrafodelista"/>
              <w:numPr>
                <w:ilvl w:val="0"/>
                <w:numId w:val="25"/>
              </w:numPr>
              <w:jc w:val="both"/>
              <w:rPr>
                <w:rFonts w:ascii="Garamond" w:hAnsi="Garamond"/>
              </w:rPr>
            </w:pPr>
            <w:r w:rsidRPr="003E3EC2">
              <w:rPr>
                <w:rFonts w:ascii="Garamond" w:hAnsi="Garamond"/>
              </w:rPr>
              <w:t>Verificar que los clientes de la sociedad cuenten con la opción de asociar un “alias” a su CVU, y que la funcionalidad de carga y actualización del alias se encuentre disponible todos los días, las 24 horas.</w:t>
            </w:r>
          </w:p>
          <w:p w14:paraId="3595D719" w14:textId="77777777" w:rsidR="007D3040" w:rsidRPr="003E3EC2" w:rsidRDefault="007D3040" w:rsidP="007D3040">
            <w:pPr>
              <w:pStyle w:val="Prrafodelista"/>
              <w:jc w:val="both"/>
              <w:rPr>
                <w:rFonts w:ascii="Garamond" w:hAnsi="Garamond"/>
              </w:rPr>
            </w:pPr>
          </w:p>
          <w:p w14:paraId="58E71ECF" w14:textId="77777777" w:rsidR="007D3040" w:rsidRPr="003E3EC2" w:rsidRDefault="007D3040" w:rsidP="007D3040">
            <w:pPr>
              <w:pStyle w:val="Prrafodelista"/>
              <w:ind w:left="720" w:firstLine="0"/>
              <w:jc w:val="both"/>
              <w:rPr>
                <w:rFonts w:ascii="Garamond" w:hAnsi="Garamond"/>
              </w:rPr>
            </w:pPr>
          </w:p>
          <w:p w14:paraId="0BFD5738" w14:textId="3A8CB556" w:rsidR="007D3040" w:rsidRPr="003E3EC2" w:rsidRDefault="007D3040" w:rsidP="007D3040">
            <w:pPr>
              <w:pStyle w:val="Prrafodelista"/>
              <w:numPr>
                <w:ilvl w:val="0"/>
                <w:numId w:val="25"/>
              </w:numPr>
              <w:jc w:val="both"/>
              <w:rPr>
                <w:rFonts w:ascii="Garamond" w:hAnsi="Garamond"/>
              </w:rPr>
            </w:pPr>
            <w:r w:rsidRPr="003E3EC2">
              <w:rPr>
                <w:rFonts w:ascii="Garamond" w:hAnsi="Garamond"/>
              </w:rPr>
              <w:t>Indagar y/o verificar los procedimientos llevados adelante la Sociedad para cumplir con el punto 5.2. de las normas “Sistema Nacional de Pagos – Servicios de pago” acerca del enrolamiento de cuentas en billeteras digitales, así como el registro establecido en el punto 5.3. de dichas normas.</w:t>
            </w:r>
          </w:p>
          <w:p w14:paraId="431587E6" w14:textId="77777777" w:rsidR="007D3040" w:rsidRPr="003E3EC2" w:rsidRDefault="007D3040" w:rsidP="007D3040">
            <w:pPr>
              <w:pStyle w:val="Prrafodelista"/>
              <w:ind w:left="720" w:firstLine="0"/>
              <w:jc w:val="both"/>
              <w:rPr>
                <w:rFonts w:ascii="Garamond" w:hAnsi="Garamond"/>
              </w:rPr>
            </w:pPr>
          </w:p>
          <w:p w14:paraId="487D3C0A" w14:textId="77777777" w:rsidR="007D3040" w:rsidRPr="003E3EC2" w:rsidRDefault="007D3040" w:rsidP="007D3040">
            <w:pPr>
              <w:pStyle w:val="Prrafodelista"/>
              <w:numPr>
                <w:ilvl w:val="0"/>
                <w:numId w:val="25"/>
              </w:numPr>
              <w:jc w:val="both"/>
              <w:rPr>
                <w:rFonts w:ascii="Garamond" w:hAnsi="Garamond"/>
              </w:rPr>
            </w:pPr>
            <w:r w:rsidRPr="003E3EC2">
              <w:rPr>
                <w:rFonts w:ascii="Garamond" w:hAnsi="Garamond"/>
              </w:rPr>
              <w:t>Indagar y/o verificar los procedimientos llevados adelante por la sociedad para cumplir con todas las disposiciones del punto 5.5. de las normas “Sistema Nacional de Pagos – Servicios de pago” para mitigar el fraude.</w:t>
            </w:r>
          </w:p>
          <w:p w14:paraId="07752494" w14:textId="77777777" w:rsidR="007D3040" w:rsidRPr="003E3EC2" w:rsidRDefault="007D3040" w:rsidP="007D3040">
            <w:pPr>
              <w:pStyle w:val="Prrafodelista"/>
              <w:jc w:val="both"/>
              <w:rPr>
                <w:rFonts w:ascii="Garamond" w:hAnsi="Garamond"/>
              </w:rPr>
            </w:pPr>
          </w:p>
          <w:p w14:paraId="56CD65DF" w14:textId="2C0B4C5C" w:rsidR="007D3040" w:rsidRPr="003E3EC2" w:rsidRDefault="007D3040" w:rsidP="007D3040">
            <w:pPr>
              <w:pStyle w:val="Prrafodelista"/>
              <w:ind w:left="720" w:firstLine="0"/>
              <w:jc w:val="both"/>
              <w:rPr>
                <w:rFonts w:ascii="Garamond" w:hAnsi="Garamond"/>
              </w:rPr>
            </w:pPr>
          </w:p>
        </w:tc>
      </w:tr>
      <w:tr w:rsidR="007D3040" w:rsidRPr="008D66D8" w14:paraId="4A9B430B" w14:textId="77777777" w:rsidTr="003E3EC2">
        <w:tc>
          <w:tcPr>
            <w:tcW w:w="4990" w:type="dxa"/>
          </w:tcPr>
          <w:p w14:paraId="5C55D7E6" w14:textId="24C55E34" w:rsidR="007D3040" w:rsidRPr="003E3EC2" w:rsidRDefault="007D3040" w:rsidP="007D3040">
            <w:pPr>
              <w:rPr>
                <w:rFonts w:ascii="Garamond" w:hAnsi="Garamond"/>
              </w:rPr>
            </w:pPr>
            <w:r w:rsidRPr="003E3EC2">
              <w:rPr>
                <w:rFonts w:ascii="Garamond" w:hAnsi="Garamond"/>
              </w:rPr>
              <w:t>8. Administración de fondos</w:t>
            </w:r>
          </w:p>
        </w:tc>
        <w:tc>
          <w:tcPr>
            <w:tcW w:w="4990" w:type="dxa"/>
          </w:tcPr>
          <w:p w14:paraId="2CAF9951" w14:textId="3399FF36" w:rsidR="007D3040" w:rsidRPr="003E3EC2" w:rsidRDefault="007D3040" w:rsidP="007D3040">
            <w:pPr>
              <w:pStyle w:val="Prrafodelista"/>
              <w:numPr>
                <w:ilvl w:val="0"/>
                <w:numId w:val="26"/>
              </w:numPr>
              <w:jc w:val="both"/>
              <w:rPr>
                <w:rFonts w:ascii="Garamond" w:hAnsi="Garamond"/>
              </w:rPr>
            </w:pPr>
            <w:r w:rsidRPr="003E3EC2">
              <w:rPr>
                <w:rFonts w:ascii="Garamond" w:hAnsi="Garamond"/>
              </w:rPr>
              <w:t>Obtener los inventarios de saldos diarios de las cuentas de pago por los meses de [mes 1], [mes 2] y [mes 3] de 20XX y:</w:t>
            </w:r>
          </w:p>
          <w:p w14:paraId="35E07C41" w14:textId="77777777" w:rsidR="007D3040" w:rsidRPr="003E3EC2" w:rsidRDefault="007D3040" w:rsidP="007D3040">
            <w:pPr>
              <w:pStyle w:val="Prrafodelista"/>
              <w:ind w:left="720" w:firstLine="0"/>
              <w:jc w:val="both"/>
              <w:rPr>
                <w:rFonts w:ascii="Garamond" w:hAnsi="Garamond"/>
              </w:rPr>
            </w:pPr>
          </w:p>
          <w:p w14:paraId="72D1C396" w14:textId="000BA7F4" w:rsidR="007D3040" w:rsidRPr="003E3EC2" w:rsidRDefault="007D3040" w:rsidP="007D3040">
            <w:pPr>
              <w:pStyle w:val="Prrafodelista"/>
              <w:numPr>
                <w:ilvl w:val="0"/>
                <w:numId w:val="27"/>
              </w:numPr>
              <w:jc w:val="both"/>
              <w:rPr>
                <w:rFonts w:ascii="Garamond" w:hAnsi="Garamond"/>
              </w:rPr>
            </w:pPr>
            <w:r w:rsidRPr="003E3EC2">
              <w:rPr>
                <w:rFonts w:ascii="Garamond" w:hAnsi="Garamond"/>
              </w:rPr>
              <w:t>Efectuar el cruce entre los saldos de los inventarios con los respectivos saldos contables al menos dos veces cada mes del trimestre bajo revisión;</w:t>
            </w:r>
          </w:p>
          <w:p w14:paraId="5A36E30D" w14:textId="77777777" w:rsidR="007D3040" w:rsidRPr="003E3EC2" w:rsidRDefault="007D3040" w:rsidP="007D3040">
            <w:pPr>
              <w:pStyle w:val="Prrafodelista"/>
              <w:ind w:left="1080" w:firstLine="0"/>
              <w:jc w:val="both"/>
              <w:rPr>
                <w:rFonts w:ascii="Garamond" w:hAnsi="Garamond"/>
              </w:rPr>
            </w:pPr>
          </w:p>
          <w:p w14:paraId="6B5B9A2B" w14:textId="06B15866" w:rsidR="007D3040" w:rsidRPr="003E3EC2" w:rsidRDefault="007D3040" w:rsidP="007D3040">
            <w:pPr>
              <w:pStyle w:val="Prrafodelista"/>
              <w:numPr>
                <w:ilvl w:val="0"/>
                <w:numId w:val="27"/>
              </w:numPr>
              <w:jc w:val="both"/>
              <w:rPr>
                <w:rFonts w:ascii="Garamond" w:hAnsi="Garamond"/>
              </w:rPr>
            </w:pPr>
            <w:r w:rsidRPr="003E3EC2">
              <w:rPr>
                <w:rFonts w:ascii="Garamond" w:hAnsi="Garamond"/>
              </w:rPr>
              <w:t>Corroborar que los inventarios permitan identificar e individualizar los fondos correspondientes a cada cliente.</w:t>
            </w:r>
          </w:p>
          <w:p w14:paraId="70D60F00" w14:textId="77777777" w:rsidR="007D3040" w:rsidRPr="003E3EC2" w:rsidRDefault="007D3040" w:rsidP="007D3040">
            <w:pPr>
              <w:pStyle w:val="Prrafodelista"/>
              <w:jc w:val="both"/>
              <w:rPr>
                <w:rFonts w:ascii="Garamond" w:hAnsi="Garamond"/>
              </w:rPr>
            </w:pPr>
          </w:p>
          <w:p w14:paraId="5C98E6AB" w14:textId="77777777" w:rsidR="007D3040" w:rsidRPr="003E3EC2" w:rsidRDefault="007D3040" w:rsidP="007D3040">
            <w:pPr>
              <w:pStyle w:val="Prrafodelista"/>
              <w:ind w:left="1080" w:firstLine="0"/>
              <w:jc w:val="both"/>
              <w:rPr>
                <w:rFonts w:ascii="Garamond" w:hAnsi="Garamond"/>
              </w:rPr>
            </w:pPr>
          </w:p>
          <w:p w14:paraId="04877DE3" w14:textId="739E3DC9" w:rsidR="007D3040" w:rsidRPr="003E3EC2" w:rsidRDefault="007D3040" w:rsidP="007D3040">
            <w:pPr>
              <w:pStyle w:val="Prrafodelista"/>
              <w:numPr>
                <w:ilvl w:val="0"/>
                <w:numId w:val="27"/>
              </w:numPr>
              <w:jc w:val="both"/>
              <w:rPr>
                <w:rFonts w:ascii="Garamond" w:hAnsi="Garamond"/>
              </w:rPr>
            </w:pPr>
            <w:r w:rsidRPr="003E3EC2">
              <w:rPr>
                <w:rFonts w:ascii="Garamond" w:hAnsi="Garamond"/>
              </w:rPr>
              <w:t>Verificar la libre disponibilidad de los fondos y que los montos sean al menos equivalentes al que fue acreditado en la cuenta de pago.</w:t>
            </w:r>
          </w:p>
          <w:p w14:paraId="18B53D6F" w14:textId="77777777" w:rsidR="007D3040" w:rsidRPr="003E3EC2" w:rsidRDefault="007D3040" w:rsidP="007D3040">
            <w:pPr>
              <w:pStyle w:val="Prrafodelista"/>
              <w:ind w:left="1080" w:firstLine="0"/>
              <w:jc w:val="both"/>
              <w:rPr>
                <w:rFonts w:ascii="Garamond" w:hAnsi="Garamond"/>
              </w:rPr>
            </w:pPr>
          </w:p>
          <w:p w14:paraId="5EBB6D24" w14:textId="7C029713" w:rsidR="007D3040" w:rsidRPr="003E3EC2" w:rsidRDefault="007D3040" w:rsidP="007D3040">
            <w:pPr>
              <w:pStyle w:val="Prrafodelista"/>
              <w:numPr>
                <w:ilvl w:val="0"/>
                <w:numId w:val="27"/>
              </w:numPr>
              <w:jc w:val="both"/>
              <w:rPr>
                <w:rFonts w:ascii="Garamond" w:hAnsi="Garamond"/>
              </w:rPr>
            </w:pPr>
            <w:r w:rsidRPr="003E3EC2">
              <w:rPr>
                <w:rFonts w:ascii="Garamond" w:hAnsi="Garamond"/>
              </w:rPr>
              <w:t>Constatar que la retribución que reciban por los saldos en las cuentas a la vista sean trasladados totalmente a sus clientes.</w:t>
            </w:r>
          </w:p>
          <w:p w14:paraId="3878798E" w14:textId="77777777" w:rsidR="007D3040" w:rsidRPr="003E3EC2" w:rsidRDefault="007D3040" w:rsidP="007D3040">
            <w:pPr>
              <w:pStyle w:val="Prrafodelista"/>
              <w:jc w:val="both"/>
              <w:rPr>
                <w:rFonts w:ascii="Garamond" w:hAnsi="Garamond"/>
              </w:rPr>
            </w:pPr>
          </w:p>
          <w:p w14:paraId="0A6AA63F" w14:textId="77777777" w:rsidR="007D3040" w:rsidRPr="003E3EC2" w:rsidRDefault="007D3040" w:rsidP="007D3040">
            <w:pPr>
              <w:pStyle w:val="Prrafodelista"/>
              <w:ind w:left="1080" w:firstLine="0"/>
              <w:jc w:val="both"/>
              <w:rPr>
                <w:rFonts w:ascii="Garamond" w:hAnsi="Garamond"/>
              </w:rPr>
            </w:pPr>
          </w:p>
          <w:p w14:paraId="78B456D2" w14:textId="59D4C04E" w:rsidR="007D3040" w:rsidRPr="003E3EC2" w:rsidRDefault="007D3040" w:rsidP="007D3040">
            <w:pPr>
              <w:pStyle w:val="Prrafodelista"/>
              <w:numPr>
                <w:ilvl w:val="0"/>
                <w:numId w:val="27"/>
              </w:numPr>
              <w:jc w:val="both"/>
              <w:rPr>
                <w:rFonts w:ascii="Garamond" w:hAnsi="Garamond"/>
              </w:rPr>
            </w:pPr>
            <w:r w:rsidRPr="003E3EC2">
              <w:rPr>
                <w:rFonts w:ascii="Garamond" w:hAnsi="Garamond"/>
              </w:rPr>
              <w:t>Constatar que exista solicitud expresa del cliente para la inversión de sus fondos en fondos comunes de dinero.</w:t>
            </w:r>
          </w:p>
          <w:p w14:paraId="51E266B9" w14:textId="77777777" w:rsidR="007D3040" w:rsidRPr="003E3EC2" w:rsidRDefault="007D3040" w:rsidP="007D3040">
            <w:pPr>
              <w:pStyle w:val="Prrafodelista"/>
              <w:ind w:left="1080" w:firstLine="0"/>
              <w:jc w:val="both"/>
              <w:rPr>
                <w:rFonts w:ascii="Garamond" w:hAnsi="Garamond"/>
              </w:rPr>
            </w:pPr>
          </w:p>
          <w:p w14:paraId="55923D80" w14:textId="758BA0BE" w:rsidR="007D3040" w:rsidRPr="003E3EC2" w:rsidRDefault="007D3040" w:rsidP="007D3040">
            <w:pPr>
              <w:pStyle w:val="Prrafodelista"/>
              <w:numPr>
                <w:ilvl w:val="0"/>
                <w:numId w:val="26"/>
              </w:numPr>
              <w:jc w:val="both"/>
              <w:rPr>
                <w:rFonts w:ascii="Garamond" w:hAnsi="Garamond"/>
              </w:rPr>
            </w:pPr>
            <w:r w:rsidRPr="003E3EC2">
              <w:rPr>
                <w:rFonts w:ascii="Garamond" w:hAnsi="Garamond"/>
              </w:rPr>
              <w:t>Constatar que la Sociedad mantiene abiertas cuentas a la vista en pesos en entidades financieras que son utilizadas exclusivamente para el depósito de los fondos de los clientes. Para lo cual se deberá:</w:t>
            </w:r>
          </w:p>
          <w:p w14:paraId="08A29B8D" w14:textId="77777777" w:rsidR="007D3040" w:rsidRPr="003E3EC2" w:rsidRDefault="007D3040" w:rsidP="007D3040">
            <w:pPr>
              <w:pStyle w:val="Prrafodelista"/>
              <w:ind w:left="720" w:firstLine="0"/>
              <w:jc w:val="both"/>
              <w:rPr>
                <w:rFonts w:ascii="Garamond" w:hAnsi="Garamond"/>
              </w:rPr>
            </w:pPr>
          </w:p>
          <w:p w14:paraId="26E93A71" w14:textId="613633E2" w:rsidR="007D3040" w:rsidRPr="003E3EC2" w:rsidRDefault="007D3040" w:rsidP="007D3040">
            <w:pPr>
              <w:pStyle w:val="Prrafodelista"/>
              <w:numPr>
                <w:ilvl w:val="0"/>
                <w:numId w:val="28"/>
              </w:numPr>
              <w:jc w:val="both"/>
              <w:rPr>
                <w:rFonts w:ascii="Garamond" w:hAnsi="Garamond"/>
              </w:rPr>
            </w:pPr>
            <w:r w:rsidRPr="003E3EC2">
              <w:rPr>
                <w:rFonts w:ascii="Garamond" w:hAnsi="Garamond"/>
              </w:rPr>
              <w:t xml:space="preserve"> Cotejar los saldos de las cuentas a la vista que surgen de los registros contables al [30/31] de [mes 1], [30/31] de [mes 2] y [30/31] de [mes 3] de 202X con los saldos informados en los extractos bancarios emitidos por las respectivas entidades financieras en esas fechas;</w:t>
            </w:r>
          </w:p>
          <w:p w14:paraId="77713FC3" w14:textId="77777777" w:rsidR="007D3040" w:rsidRPr="003E3EC2" w:rsidRDefault="007D3040" w:rsidP="007D3040">
            <w:pPr>
              <w:pStyle w:val="Prrafodelista"/>
              <w:ind w:left="1080" w:firstLine="0"/>
              <w:jc w:val="both"/>
              <w:rPr>
                <w:rFonts w:ascii="Garamond" w:hAnsi="Garamond"/>
              </w:rPr>
            </w:pPr>
          </w:p>
          <w:p w14:paraId="2BFFD55A" w14:textId="4EA813CD" w:rsidR="007D3040" w:rsidRPr="003E3EC2" w:rsidRDefault="007D3040" w:rsidP="007D3040">
            <w:pPr>
              <w:pStyle w:val="Prrafodelista"/>
              <w:numPr>
                <w:ilvl w:val="0"/>
                <w:numId w:val="28"/>
              </w:numPr>
              <w:jc w:val="both"/>
              <w:rPr>
                <w:rFonts w:ascii="Garamond" w:hAnsi="Garamond"/>
              </w:rPr>
            </w:pPr>
            <w:r w:rsidRPr="003E3EC2">
              <w:rPr>
                <w:rFonts w:ascii="Garamond" w:hAnsi="Garamond"/>
              </w:rPr>
              <w:t>Efectuar sobre la base de una muestra de días una lectura de los extractos bancarios de las cuentas a la vista utilizadas para el depósito de los fondos de los clientes y corroborar que no existan movimientos que correspondan a operatoria propia de la Sociedad.</w:t>
            </w:r>
          </w:p>
          <w:p w14:paraId="757D1068" w14:textId="77777777" w:rsidR="007D3040" w:rsidRPr="003E3EC2" w:rsidRDefault="007D3040" w:rsidP="007D3040">
            <w:pPr>
              <w:pStyle w:val="Prrafodelista"/>
              <w:jc w:val="both"/>
              <w:rPr>
                <w:rFonts w:ascii="Garamond" w:hAnsi="Garamond"/>
              </w:rPr>
            </w:pPr>
          </w:p>
          <w:p w14:paraId="210C71F9" w14:textId="77777777" w:rsidR="007D3040" w:rsidRPr="003E3EC2" w:rsidRDefault="007D3040" w:rsidP="007D3040">
            <w:pPr>
              <w:pStyle w:val="Prrafodelista"/>
              <w:ind w:left="1080" w:firstLine="0"/>
              <w:jc w:val="both"/>
              <w:rPr>
                <w:rFonts w:ascii="Garamond" w:hAnsi="Garamond"/>
              </w:rPr>
            </w:pPr>
          </w:p>
          <w:p w14:paraId="74260335" w14:textId="2C0675E0" w:rsidR="007D3040" w:rsidRPr="003E3EC2" w:rsidRDefault="007D3040" w:rsidP="007D3040">
            <w:pPr>
              <w:pStyle w:val="Prrafodelista"/>
              <w:numPr>
                <w:ilvl w:val="0"/>
                <w:numId w:val="28"/>
              </w:numPr>
              <w:jc w:val="both"/>
              <w:rPr>
                <w:rFonts w:ascii="Garamond" w:hAnsi="Garamond"/>
              </w:rPr>
            </w:pPr>
            <w:r w:rsidRPr="003E3EC2">
              <w:rPr>
                <w:rFonts w:ascii="Garamond" w:hAnsi="Garamond"/>
              </w:rPr>
              <w:t>Obtener el detalle de las cuentas a la vista en entidades financieras en las cuales la Entidad canaliza las transacciones por cuenta propia al [30/31] de [mes 3] 202X y corroborar que sean distintas al detalle de cuentas a la vista que son utilizadas exclusivamente para el depósito de los fondos de los clientes;</w:t>
            </w:r>
          </w:p>
          <w:p w14:paraId="0EE4DA76" w14:textId="77777777" w:rsidR="007D3040" w:rsidRPr="003E3EC2" w:rsidRDefault="007D3040" w:rsidP="007D3040">
            <w:pPr>
              <w:pStyle w:val="Prrafodelista"/>
              <w:ind w:left="1080" w:firstLine="0"/>
              <w:jc w:val="both"/>
              <w:rPr>
                <w:rFonts w:ascii="Garamond" w:hAnsi="Garamond"/>
              </w:rPr>
            </w:pPr>
          </w:p>
          <w:p w14:paraId="42CF96F8" w14:textId="77777777" w:rsidR="007D3040" w:rsidRPr="003E3EC2" w:rsidRDefault="007D3040" w:rsidP="007D3040">
            <w:pPr>
              <w:pStyle w:val="Prrafodelista"/>
              <w:numPr>
                <w:ilvl w:val="0"/>
                <w:numId w:val="28"/>
              </w:numPr>
              <w:jc w:val="both"/>
              <w:rPr>
                <w:rFonts w:ascii="Garamond" w:hAnsi="Garamond"/>
              </w:rPr>
            </w:pPr>
            <w:r w:rsidRPr="003E3EC2">
              <w:rPr>
                <w:rFonts w:ascii="Garamond" w:hAnsi="Garamond"/>
              </w:rPr>
              <w:t>Efectuar - sobre la base de una muestra de días una lectura de los extractos bancarios de las cuentas a la vista en las cuales la Entidad canaliza las transacciones por cuenta propia, correspondientes al trimestre finalizado el [30/31] de [mes 3] de 202X, a efectos de corroborar que los movimientos correspondan a operatoria propia de la Entidad.</w:t>
            </w:r>
          </w:p>
          <w:p w14:paraId="30DF909F" w14:textId="77777777" w:rsidR="007D3040" w:rsidRPr="003E3EC2" w:rsidRDefault="007D3040" w:rsidP="007D3040">
            <w:pPr>
              <w:pStyle w:val="Prrafodelista"/>
              <w:jc w:val="both"/>
              <w:rPr>
                <w:rFonts w:ascii="Garamond" w:hAnsi="Garamond"/>
              </w:rPr>
            </w:pPr>
          </w:p>
          <w:p w14:paraId="6448741C" w14:textId="7C9D8A4D" w:rsidR="007D3040" w:rsidRPr="003E3EC2" w:rsidRDefault="007D3040" w:rsidP="007D3040">
            <w:pPr>
              <w:pStyle w:val="Prrafodelista"/>
              <w:ind w:left="1080" w:firstLine="0"/>
              <w:jc w:val="both"/>
              <w:rPr>
                <w:rFonts w:ascii="Garamond" w:hAnsi="Garamond"/>
              </w:rPr>
            </w:pPr>
          </w:p>
        </w:tc>
      </w:tr>
      <w:tr w:rsidR="007D3040" w:rsidRPr="008D66D8" w14:paraId="6F9D3BD0" w14:textId="77777777" w:rsidTr="003E3EC2">
        <w:tc>
          <w:tcPr>
            <w:tcW w:w="4990" w:type="dxa"/>
          </w:tcPr>
          <w:p w14:paraId="1136B7E6" w14:textId="0DA667D4" w:rsidR="007D3040" w:rsidRPr="00E44787" w:rsidRDefault="007D3040" w:rsidP="007D3040">
            <w:pPr>
              <w:rPr>
                <w:rFonts w:ascii="Garamond" w:hAnsi="Garamond"/>
                <w:b/>
                <w:sz w:val="24"/>
                <w:szCs w:val="24"/>
              </w:rPr>
            </w:pPr>
            <w:r w:rsidRPr="00E44787">
              <w:rPr>
                <w:rFonts w:ascii="Garamond" w:hAnsi="Garamond"/>
                <w:b/>
                <w:sz w:val="24"/>
                <w:szCs w:val="24"/>
              </w:rPr>
              <w:t>Circular CONAU 1. Régimen Informativo</w:t>
            </w:r>
          </w:p>
        </w:tc>
        <w:tc>
          <w:tcPr>
            <w:tcW w:w="4990" w:type="dxa"/>
          </w:tcPr>
          <w:p w14:paraId="7B39B337" w14:textId="77777777" w:rsidR="007D3040" w:rsidRPr="008D66D8" w:rsidRDefault="007D3040" w:rsidP="007D3040">
            <w:pPr>
              <w:jc w:val="both"/>
              <w:rPr>
                <w:rFonts w:ascii="Garamond" w:hAnsi="Garamond"/>
                <w:sz w:val="24"/>
                <w:szCs w:val="24"/>
              </w:rPr>
            </w:pPr>
          </w:p>
        </w:tc>
      </w:tr>
      <w:tr w:rsidR="007D3040" w:rsidRPr="008D66D8" w14:paraId="1D759517" w14:textId="77777777" w:rsidTr="003E3EC2">
        <w:tc>
          <w:tcPr>
            <w:tcW w:w="4990" w:type="dxa"/>
          </w:tcPr>
          <w:p w14:paraId="2C1BC898" w14:textId="77777777" w:rsidR="007D3040" w:rsidRPr="008D66D8" w:rsidRDefault="007D3040" w:rsidP="007D3040">
            <w:pPr>
              <w:rPr>
                <w:rFonts w:ascii="Garamond" w:hAnsi="Garamond"/>
                <w:sz w:val="24"/>
                <w:szCs w:val="24"/>
              </w:rPr>
            </w:pPr>
          </w:p>
        </w:tc>
        <w:tc>
          <w:tcPr>
            <w:tcW w:w="4990" w:type="dxa"/>
          </w:tcPr>
          <w:p w14:paraId="40EB49A8" w14:textId="77777777" w:rsidR="007D3040" w:rsidRPr="008D66D8" w:rsidRDefault="007D3040" w:rsidP="007D3040">
            <w:pPr>
              <w:jc w:val="both"/>
              <w:rPr>
                <w:rFonts w:ascii="Garamond" w:hAnsi="Garamond"/>
                <w:sz w:val="24"/>
                <w:szCs w:val="24"/>
              </w:rPr>
            </w:pPr>
          </w:p>
        </w:tc>
      </w:tr>
      <w:tr w:rsidR="007D3040" w:rsidRPr="008D66D8" w14:paraId="76EC4AF7" w14:textId="77777777" w:rsidTr="003E3EC2">
        <w:tc>
          <w:tcPr>
            <w:tcW w:w="4990" w:type="dxa"/>
          </w:tcPr>
          <w:p w14:paraId="5DB988FB" w14:textId="77777777" w:rsidR="007D3040" w:rsidRPr="003E3EC2" w:rsidRDefault="007D3040" w:rsidP="007D3040">
            <w:pPr>
              <w:rPr>
                <w:rFonts w:ascii="Garamond" w:hAnsi="Garamond"/>
              </w:rPr>
            </w:pPr>
            <w:r w:rsidRPr="003E3EC2">
              <w:rPr>
                <w:rFonts w:ascii="Garamond" w:hAnsi="Garamond"/>
              </w:rPr>
              <w:t>1. Proveedores de Servicios de Pago que ofrecen cuentas de pago – Apartado A: Información para</w:t>
            </w:r>
          </w:p>
          <w:p w14:paraId="6C12B8FC" w14:textId="65BB2E84" w:rsidR="007D3040" w:rsidRPr="003E3EC2" w:rsidRDefault="007D3040" w:rsidP="007D3040">
            <w:pPr>
              <w:rPr>
                <w:rFonts w:ascii="Garamond" w:hAnsi="Garamond"/>
              </w:rPr>
            </w:pPr>
            <w:r w:rsidRPr="003E3EC2">
              <w:rPr>
                <w:rFonts w:ascii="Garamond" w:hAnsi="Garamond"/>
              </w:rPr>
              <w:t>Supervisión</w:t>
            </w:r>
          </w:p>
        </w:tc>
        <w:tc>
          <w:tcPr>
            <w:tcW w:w="4990" w:type="dxa"/>
          </w:tcPr>
          <w:p w14:paraId="782C1BA3" w14:textId="7582729E" w:rsidR="007D3040" w:rsidRPr="003E3EC2" w:rsidRDefault="007D3040" w:rsidP="007D3040">
            <w:pPr>
              <w:pStyle w:val="Prrafodelista"/>
              <w:numPr>
                <w:ilvl w:val="0"/>
                <w:numId w:val="26"/>
              </w:numPr>
              <w:jc w:val="both"/>
              <w:rPr>
                <w:rFonts w:ascii="Garamond" w:hAnsi="Garamond"/>
              </w:rPr>
            </w:pPr>
            <w:r w:rsidRPr="003E3EC2">
              <w:rPr>
                <w:rFonts w:ascii="Garamond" w:hAnsi="Garamond"/>
              </w:rPr>
              <w:t>Aspectos generales.</w:t>
            </w:r>
          </w:p>
          <w:p w14:paraId="5942B401" w14:textId="77777777" w:rsidR="007D3040" w:rsidRPr="003E3EC2" w:rsidRDefault="007D3040" w:rsidP="007D3040">
            <w:pPr>
              <w:jc w:val="both"/>
              <w:rPr>
                <w:rFonts w:ascii="Garamond" w:hAnsi="Garamond"/>
              </w:rPr>
            </w:pPr>
          </w:p>
          <w:p w14:paraId="0A505802" w14:textId="43F82024" w:rsidR="007D3040" w:rsidRPr="003E3EC2" w:rsidRDefault="007D3040" w:rsidP="007D3040">
            <w:pPr>
              <w:pStyle w:val="Prrafodelista"/>
              <w:numPr>
                <w:ilvl w:val="0"/>
                <w:numId w:val="30"/>
              </w:numPr>
              <w:jc w:val="both"/>
              <w:rPr>
                <w:rFonts w:ascii="Garamond" w:hAnsi="Garamond"/>
              </w:rPr>
            </w:pPr>
            <w:r w:rsidRPr="003E3EC2">
              <w:rPr>
                <w:rFonts w:ascii="Garamond" w:hAnsi="Garamond"/>
              </w:rPr>
              <w:t>Verificar que la información presentada refleje íntegramente la operatoria de cuentas de pago de la Sociedad (se incluya la totalidad de los saldos de clientes y cuentas a la vista o de fondos comunes de dinero) mediante su cotejo con los inventarios respectivos.</w:t>
            </w:r>
          </w:p>
          <w:p w14:paraId="20F5E883" w14:textId="77777777" w:rsidR="007D3040" w:rsidRPr="003E3EC2" w:rsidRDefault="007D3040" w:rsidP="007D3040">
            <w:pPr>
              <w:pStyle w:val="Prrafodelista"/>
              <w:ind w:left="1080" w:firstLine="0"/>
              <w:jc w:val="both"/>
              <w:rPr>
                <w:rFonts w:ascii="Garamond" w:hAnsi="Garamond"/>
              </w:rPr>
            </w:pPr>
          </w:p>
          <w:p w14:paraId="61FBAF93" w14:textId="4AAD81E1" w:rsidR="007D3040" w:rsidRPr="003E3EC2" w:rsidRDefault="007D3040" w:rsidP="007D3040">
            <w:pPr>
              <w:pStyle w:val="Prrafodelista"/>
              <w:numPr>
                <w:ilvl w:val="0"/>
                <w:numId w:val="26"/>
              </w:numPr>
              <w:jc w:val="both"/>
              <w:rPr>
                <w:rFonts w:ascii="Garamond" w:hAnsi="Garamond"/>
              </w:rPr>
            </w:pPr>
            <w:r w:rsidRPr="003E3EC2">
              <w:rPr>
                <w:rFonts w:ascii="Garamond" w:hAnsi="Garamond"/>
              </w:rPr>
              <w:t>Cuentas de pago de clientes</w:t>
            </w:r>
          </w:p>
          <w:p w14:paraId="7D5C61B0" w14:textId="77777777" w:rsidR="007D3040" w:rsidRPr="003E3EC2" w:rsidRDefault="007D3040" w:rsidP="007D3040">
            <w:pPr>
              <w:pStyle w:val="Prrafodelista"/>
              <w:ind w:left="720" w:firstLine="0"/>
              <w:jc w:val="both"/>
              <w:rPr>
                <w:rFonts w:ascii="Garamond" w:hAnsi="Garamond"/>
              </w:rPr>
            </w:pPr>
          </w:p>
          <w:p w14:paraId="1A5D27F2" w14:textId="2F96D3EA" w:rsidR="007D3040" w:rsidRPr="003E3EC2" w:rsidRDefault="007D3040" w:rsidP="007D3040">
            <w:pPr>
              <w:pStyle w:val="Prrafodelista"/>
              <w:numPr>
                <w:ilvl w:val="0"/>
                <w:numId w:val="31"/>
              </w:numPr>
              <w:jc w:val="both"/>
              <w:rPr>
                <w:rFonts w:ascii="Garamond" w:hAnsi="Garamond"/>
              </w:rPr>
            </w:pPr>
            <w:r w:rsidRPr="003E3EC2">
              <w:rPr>
                <w:rFonts w:ascii="Garamond" w:hAnsi="Garamond"/>
              </w:rPr>
              <w:t xml:space="preserve">Corroborar - sobre la base de una muestra </w:t>
            </w:r>
            <w:r w:rsidRPr="003E3EC2">
              <w:rPr>
                <w:rFonts w:ascii="Garamond" w:hAnsi="Garamond"/>
              </w:rPr>
              <w:lastRenderedPageBreak/>
              <w:t>de días de los meses de [Mes1], [Mes2] y [Mes3] de 20XX - los datos informados en las partidas “Sumatoria de saldos de cuentas de pago de clientes (columnas “saldo” y “cantidad”)” y “Cantidad total de cuenta de pago de los clientes” con los datos que surgen de los inventarios proporcionados por la sociedad.</w:t>
            </w:r>
          </w:p>
          <w:p w14:paraId="5B379CD9" w14:textId="77777777" w:rsidR="007D3040" w:rsidRPr="003E3EC2" w:rsidRDefault="007D3040" w:rsidP="007D3040">
            <w:pPr>
              <w:pStyle w:val="Prrafodelista"/>
              <w:ind w:left="1080" w:firstLine="0"/>
              <w:jc w:val="both"/>
              <w:rPr>
                <w:rFonts w:ascii="Garamond" w:hAnsi="Garamond"/>
              </w:rPr>
            </w:pPr>
          </w:p>
          <w:p w14:paraId="496323E4" w14:textId="77777777" w:rsidR="007D3040" w:rsidRPr="003E3EC2" w:rsidRDefault="007D3040" w:rsidP="007D3040">
            <w:pPr>
              <w:pStyle w:val="Prrafodelista"/>
              <w:numPr>
                <w:ilvl w:val="0"/>
                <w:numId w:val="31"/>
              </w:numPr>
              <w:jc w:val="both"/>
              <w:rPr>
                <w:rFonts w:ascii="Garamond" w:hAnsi="Garamond"/>
              </w:rPr>
            </w:pPr>
            <w:r w:rsidRPr="003E3EC2">
              <w:rPr>
                <w:rFonts w:ascii="Garamond" w:hAnsi="Garamond"/>
              </w:rPr>
              <w:t>Corroborar - sobre la base de una muestra de días de los meses de [Mes1], [Mes2] y [Mes3] de 20XX - los datos informados en las partidas “Saldos en cuentas a la vista por entidad financiera (columnas “saldo” y “CBU”)” con los importes diarios que surgen de los extractos bancarios de cada entidad financiera en la que se encuentren acreditados fondos de cuentas de pago de clientes, verificando que los CBU informados correspondan exclusivamente a cuentas bancarias destinadas a depositar fondos de clientes.</w:t>
            </w:r>
          </w:p>
          <w:p w14:paraId="7B64BBF7" w14:textId="77777777" w:rsidR="007D3040" w:rsidRPr="003E3EC2" w:rsidRDefault="007D3040" w:rsidP="007D3040">
            <w:pPr>
              <w:pStyle w:val="Prrafodelista"/>
              <w:jc w:val="both"/>
              <w:rPr>
                <w:rFonts w:ascii="Garamond" w:hAnsi="Garamond"/>
              </w:rPr>
            </w:pPr>
          </w:p>
          <w:p w14:paraId="12F3B553" w14:textId="42F519D1" w:rsidR="007D3040" w:rsidRPr="003E3EC2" w:rsidRDefault="007D3040" w:rsidP="007D3040">
            <w:pPr>
              <w:pStyle w:val="Prrafodelista"/>
              <w:numPr>
                <w:ilvl w:val="0"/>
                <w:numId w:val="31"/>
              </w:numPr>
              <w:jc w:val="both"/>
              <w:rPr>
                <w:rFonts w:ascii="Garamond" w:hAnsi="Garamond"/>
              </w:rPr>
            </w:pPr>
            <w:r w:rsidRPr="003E3EC2">
              <w:rPr>
                <w:rFonts w:ascii="Garamond" w:hAnsi="Garamond"/>
              </w:rPr>
              <w:t>Constatar que para todos los días del periodo comprendido entre el 1° de [mes 1] y el [30/31] de [mes 3] de 202X [trimestre bajo revisión], la sumatoria de la partida "Saldos de las cuentas a la vista en entidades financieras", sea igual o mayor al importe de la partida “Sumatoria de saldos de cuentas de pago de clientes (columnas “saldo” y “cantidad”).</w:t>
            </w:r>
          </w:p>
          <w:p w14:paraId="7D7BDD82" w14:textId="77777777" w:rsidR="007D3040" w:rsidRPr="003E3EC2" w:rsidRDefault="007D3040" w:rsidP="007D3040">
            <w:pPr>
              <w:jc w:val="both"/>
              <w:rPr>
                <w:rFonts w:ascii="Garamond" w:hAnsi="Garamond"/>
              </w:rPr>
            </w:pPr>
          </w:p>
          <w:p w14:paraId="0A0AC84A" w14:textId="5DE26747" w:rsidR="007D3040" w:rsidRPr="003E3EC2" w:rsidRDefault="007D3040" w:rsidP="007D3040">
            <w:pPr>
              <w:pStyle w:val="Prrafodelista"/>
              <w:numPr>
                <w:ilvl w:val="0"/>
                <w:numId w:val="26"/>
              </w:numPr>
              <w:jc w:val="both"/>
              <w:rPr>
                <w:rFonts w:ascii="Garamond" w:hAnsi="Garamond"/>
              </w:rPr>
            </w:pPr>
            <w:r w:rsidRPr="003E3EC2">
              <w:rPr>
                <w:rFonts w:ascii="Garamond" w:hAnsi="Garamond"/>
              </w:rPr>
              <w:t>Saldos invertidos en fondos comunes de dinero informados a los clientes</w:t>
            </w:r>
          </w:p>
          <w:p w14:paraId="1F29C04D" w14:textId="77777777" w:rsidR="007D3040" w:rsidRPr="003E3EC2" w:rsidRDefault="007D3040" w:rsidP="007D3040">
            <w:pPr>
              <w:pStyle w:val="Prrafodelista"/>
              <w:ind w:left="1080" w:firstLine="0"/>
              <w:jc w:val="both"/>
              <w:rPr>
                <w:rFonts w:ascii="Garamond" w:hAnsi="Garamond"/>
              </w:rPr>
            </w:pPr>
          </w:p>
          <w:p w14:paraId="670A344A" w14:textId="382420F4" w:rsidR="007D3040" w:rsidRPr="003E3EC2" w:rsidRDefault="007D3040" w:rsidP="007D3040">
            <w:pPr>
              <w:pStyle w:val="Prrafodelista"/>
              <w:numPr>
                <w:ilvl w:val="0"/>
                <w:numId w:val="31"/>
              </w:numPr>
              <w:jc w:val="both"/>
              <w:rPr>
                <w:rFonts w:ascii="Garamond" w:hAnsi="Garamond"/>
              </w:rPr>
            </w:pPr>
            <w:r w:rsidRPr="003E3EC2">
              <w:rPr>
                <w:rFonts w:ascii="Garamond" w:hAnsi="Garamond"/>
              </w:rPr>
              <w:t>Para los días seleccionados en el procedimiento mencionado en el punto (ii) precedente, comparar los saldos diarios de clientes invertidos en fondos comunes de dinero y la cantidad diaria de clientes según la información suministrada por el Agente de Custodia de Productos de Inversión Colectiva o Sociedad Depositaria, según corresponda, contra los saldos y valores, respectivamente, informados en el apartado "A" - "Información para supervisión" del Régimen "Proveedores de Servicios de Pago que ofrecen cuentas de Pago".</w:t>
            </w:r>
          </w:p>
          <w:p w14:paraId="62E84BFD" w14:textId="77777777" w:rsidR="007D3040" w:rsidRPr="003E3EC2" w:rsidRDefault="007D3040" w:rsidP="007D3040">
            <w:pPr>
              <w:jc w:val="both"/>
              <w:rPr>
                <w:rFonts w:ascii="Garamond" w:hAnsi="Garamond"/>
              </w:rPr>
            </w:pPr>
          </w:p>
          <w:p w14:paraId="0BDEFBF1" w14:textId="77777777" w:rsidR="007D3040" w:rsidRPr="003E3EC2" w:rsidRDefault="007D3040" w:rsidP="007D3040">
            <w:pPr>
              <w:pStyle w:val="Prrafodelista"/>
              <w:numPr>
                <w:ilvl w:val="0"/>
                <w:numId w:val="26"/>
              </w:numPr>
              <w:jc w:val="both"/>
              <w:rPr>
                <w:rFonts w:ascii="Garamond" w:hAnsi="Garamond"/>
              </w:rPr>
            </w:pPr>
            <w:r w:rsidRPr="003E3EC2">
              <w:rPr>
                <w:rFonts w:ascii="Garamond" w:hAnsi="Garamond"/>
              </w:rPr>
              <w:t xml:space="preserve">Constatar que la Sociedad haya presentado la totalidad del régimen informativo, en cumplimiento del plazo y diseño de presentación dispuesto por el BCRA, durante el período comprendido entre el </w:t>
            </w:r>
            <w:proofErr w:type="gramStart"/>
            <w:r w:rsidRPr="003E3EC2">
              <w:rPr>
                <w:rFonts w:ascii="Garamond" w:hAnsi="Garamond"/>
              </w:rPr>
              <w:t>..</w:t>
            </w:r>
            <w:proofErr w:type="gramEnd"/>
            <w:r w:rsidRPr="003E3EC2">
              <w:rPr>
                <w:rFonts w:ascii="Garamond" w:hAnsi="Garamond"/>
              </w:rPr>
              <w:t xml:space="preserve"> de …</w:t>
            </w:r>
            <w:proofErr w:type="gramStart"/>
            <w:r w:rsidRPr="003E3EC2">
              <w:rPr>
                <w:rFonts w:ascii="Garamond" w:hAnsi="Garamond"/>
              </w:rPr>
              <w:t>..</w:t>
            </w:r>
            <w:proofErr w:type="gramEnd"/>
            <w:r w:rsidRPr="003E3EC2">
              <w:rPr>
                <w:rFonts w:ascii="Garamond" w:hAnsi="Garamond"/>
              </w:rPr>
              <w:t xml:space="preserve"> de …</w:t>
            </w:r>
            <w:proofErr w:type="gramStart"/>
            <w:r w:rsidRPr="003E3EC2">
              <w:rPr>
                <w:rFonts w:ascii="Garamond" w:hAnsi="Garamond"/>
              </w:rPr>
              <w:t>..</w:t>
            </w:r>
            <w:proofErr w:type="gramEnd"/>
            <w:r w:rsidRPr="003E3EC2">
              <w:rPr>
                <w:rFonts w:ascii="Garamond" w:hAnsi="Garamond"/>
              </w:rPr>
              <w:t xml:space="preserve"> y el </w:t>
            </w:r>
            <w:proofErr w:type="gramStart"/>
            <w:r w:rsidRPr="003E3EC2">
              <w:rPr>
                <w:rFonts w:ascii="Garamond" w:hAnsi="Garamond"/>
              </w:rPr>
              <w:t>..</w:t>
            </w:r>
            <w:proofErr w:type="gramEnd"/>
            <w:r w:rsidRPr="003E3EC2">
              <w:rPr>
                <w:rFonts w:ascii="Garamond" w:hAnsi="Garamond"/>
              </w:rPr>
              <w:t xml:space="preserve"> de …</w:t>
            </w:r>
            <w:proofErr w:type="gramStart"/>
            <w:r w:rsidRPr="003E3EC2">
              <w:rPr>
                <w:rFonts w:ascii="Garamond" w:hAnsi="Garamond"/>
              </w:rPr>
              <w:t>..</w:t>
            </w:r>
            <w:proofErr w:type="gramEnd"/>
            <w:r w:rsidRPr="003E3EC2">
              <w:rPr>
                <w:rFonts w:ascii="Garamond" w:hAnsi="Garamond"/>
              </w:rPr>
              <w:t xml:space="preserve"> de ….</w:t>
            </w:r>
          </w:p>
          <w:p w14:paraId="254F869F" w14:textId="3C4706DC" w:rsidR="007D3040" w:rsidRPr="003E3EC2" w:rsidRDefault="007D3040" w:rsidP="007D3040">
            <w:pPr>
              <w:pStyle w:val="Prrafodelista"/>
              <w:ind w:left="720" w:firstLine="0"/>
              <w:jc w:val="both"/>
              <w:rPr>
                <w:rFonts w:ascii="Garamond" w:hAnsi="Garamond"/>
              </w:rPr>
            </w:pPr>
          </w:p>
        </w:tc>
      </w:tr>
      <w:tr w:rsidR="007D3040" w:rsidRPr="008D66D8" w14:paraId="69782125" w14:textId="77777777" w:rsidTr="003E3EC2">
        <w:tc>
          <w:tcPr>
            <w:tcW w:w="4990" w:type="dxa"/>
          </w:tcPr>
          <w:p w14:paraId="0658B31B" w14:textId="77777777" w:rsidR="007D3040" w:rsidRDefault="007D3040" w:rsidP="007D3040">
            <w:pPr>
              <w:rPr>
                <w:rFonts w:ascii="Garamond" w:hAnsi="Garamond"/>
                <w:sz w:val="24"/>
                <w:szCs w:val="24"/>
              </w:rPr>
            </w:pPr>
          </w:p>
          <w:p w14:paraId="613AE3C3" w14:textId="77777777" w:rsidR="00097FE3" w:rsidRPr="008D66D8" w:rsidRDefault="00097FE3" w:rsidP="007D3040">
            <w:pPr>
              <w:rPr>
                <w:rFonts w:ascii="Garamond" w:hAnsi="Garamond"/>
                <w:sz w:val="24"/>
                <w:szCs w:val="24"/>
              </w:rPr>
            </w:pPr>
          </w:p>
        </w:tc>
        <w:tc>
          <w:tcPr>
            <w:tcW w:w="4990" w:type="dxa"/>
          </w:tcPr>
          <w:p w14:paraId="2B40A148" w14:textId="77777777" w:rsidR="007D3040" w:rsidRPr="008D66D8" w:rsidRDefault="007D3040" w:rsidP="007D3040">
            <w:pPr>
              <w:jc w:val="both"/>
              <w:rPr>
                <w:rFonts w:ascii="Garamond" w:hAnsi="Garamond"/>
                <w:sz w:val="24"/>
                <w:szCs w:val="24"/>
              </w:rPr>
            </w:pPr>
          </w:p>
        </w:tc>
      </w:tr>
      <w:tr w:rsidR="007D3040" w:rsidRPr="008D66D8" w14:paraId="3AEDBEAC" w14:textId="77777777" w:rsidTr="003E3EC2">
        <w:tc>
          <w:tcPr>
            <w:tcW w:w="4990" w:type="dxa"/>
          </w:tcPr>
          <w:p w14:paraId="1AC0F5A3" w14:textId="3CA06983" w:rsidR="007D3040" w:rsidRPr="003E3EC2" w:rsidRDefault="007D3040" w:rsidP="007D3040">
            <w:pPr>
              <w:rPr>
                <w:rFonts w:ascii="Garamond" w:hAnsi="Garamond"/>
                <w:b/>
                <w:i/>
                <w:sz w:val="24"/>
                <w:szCs w:val="24"/>
                <w:u w:val="single"/>
              </w:rPr>
            </w:pPr>
            <w:r w:rsidRPr="003E3EC2">
              <w:rPr>
                <w:rFonts w:ascii="Garamond" w:hAnsi="Garamond"/>
                <w:b/>
                <w:i/>
                <w:sz w:val="24"/>
                <w:szCs w:val="24"/>
                <w:u w:val="single"/>
              </w:rPr>
              <w:lastRenderedPageBreak/>
              <w:t>PROCEDIMIENTOS ANUALES</w:t>
            </w:r>
          </w:p>
        </w:tc>
        <w:tc>
          <w:tcPr>
            <w:tcW w:w="4990" w:type="dxa"/>
          </w:tcPr>
          <w:p w14:paraId="779C1C11" w14:textId="77777777" w:rsidR="007D3040" w:rsidRPr="008D66D8" w:rsidRDefault="007D3040" w:rsidP="007D3040">
            <w:pPr>
              <w:jc w:val="both"/>
              <w:rPr>
                <w:rFonts w:ascii="Garamond" w:hAnsi="Garamond"/>
                <w:sz w:val="24"/>
                <w:szCs w:val="24"/>
              </w:rPr>
            </w:pPr>
          </w:p>
        </w:tc>
      </w:tr>
      <w:tr w:rsidR="007D3040" w:rsidRPr="008D66D8" w14:paraId="1E7B0EE1" w14:textId="77777777" w:rsidTr="003E3EC2">
        <w:tc>
          <w:tcPr>
            <w:tcW w:w="4990" w:type="dxa"/>
          </w:tcPr>
          <w:p w14:paraId="019873E8" w14:textId="77777777" w:rsidR="007D3040" w:rsidRPr="008D66D8" w:rsidRDefault="007D3040" w:rsidP="007D3040">
            <w:pPr>
              <w:rPr>
                <w:rFonts w:ascii="Garamond" w:hAnsi="Garamond"/>
                <w:sz w:val="24"/>
                <w:szCs w:val="24"/>
              </w:rPr>
            </w:pPr>
          </w:p>
        </w:tc>
        <w:tc>
          <w:tcPr>
            <w:tcW w:w="4990" w:type="dxa"/>
          </w:tcPr>
          <w:p w14:paraId="50A3297A" w14:textId="77777777" w:rsidR="007D3040" w:rsidRPr="008D66D8" w:rsidRDefault="007D3040" w:rsidP="007D3040">
            <w:pPr>
              <w:jc w:val="both"/>
              <w:rPr>
                <w:rFonts w:ascii="Garamond" w:hAnsi="Garamond"/>
                <w:sz w:val="24"/>
                <w:szCs w:val="24"/>
              </w:rPr>
            </w:pPr>
          </w:p>
        </w:tc>
      </w:tr>
      <w:tr w:rsidR="007D3040" w:rsidRPr="008D66D8" w14:paraId="7B31820E" w14:textId="77777777" w:rsidTr="003E3EC2">
        <w:tc>
          <w:tcPr>
            <w:tcW w:w="4990" w:type="dxa"/>
          </w:tcPr>
          <w:p w14:paraId="19764C32" w14:textId="1F0520FD" w:rsidR="007D3040" w:rsidRPr="006629D9" w:rsidRDefault="007D3040" w:rsidP="007D3040">
            <w:pPr>
              <w:rPr>
                <w:rFonts w:ascii="Garamond" w:hAnsi="Garamond"/>
                <w:b/>
                <w:sz w:val="24"/>
                <w:szCs w:val="24"/>
              </w:rPr>
            </w:pPr>
            <w:r w:rsidRPr="006629D9">
              <w:rPr>
                <w:rFonts w:ascii="Garamond" w:hAnsi="Garamond"/>
                <w:b/>
                <w:sz w:val="24"/>
                <w:szCs w:val="24"/>
              </w:rPr>
              <w:t>Circular RUNOR 1. XI. Protección de los usuarios de servicios financieros</w:t>
            </w:r>
          </w:p>
        </w:tc>
        <w:tc>
          <w:tcPr>
            <w:tcW w:w="4990" w:type="dxa"/>
          </w:tcPr>
          <w:p w14:paraId="6A55DDF9" w14:textId="77777777" w:rsidR="007D3040" w:rsidRPr="008D66D8" w:rsidRDefault="007D3040" w:rsidP="007D3040">
            <w:pPr>
              <w:jc w:val="both"/>
              <w:rPr>
                <w:rFonts w:ascii="Garamond" w:hAnsi="Garamond"/>
                <w:sz w:val="24"/>
                <w:szCs w:val="24"/>
              </w:rPr>
            </w:pPr>
          </w:p>
        </w:tc>
      </w:tr>
      <w:tr w:rsidR="007D3040" w:rsidRPr="008D66D8" w14:paraId="0646EB18" w14:textId="77777777" w:rsidTr="003E3EC2">
        <w:tc>
          <w:tcPr>
            <w:tcW w:w="4990" w:type="dxa"/>
          </w:tcPr>
          <w:p w14:paraId="40E269A7" w14:textId="77777777" w:rsidR="007D3040" w:rsidRPr="008D66D8" w:rsidRDefault="007D3040" w:rsidP="007D3040">
            <w:pPr>
              <w:rPr>
                <w:rFonts w:ascii="Garamond" w:hAnsi="Garamond"/>
                <w:sz w:val="24"/>
                <w:szCs w:val="24"/>
              </w:rPr>
            </w:pPr>
          </w:p>
        </w:tc>
        <w:tc>
          <w:tcPr>
            <w:tcW w:w="4990" w:type="dxa"/>
          </w:tcPr>
          <w:p w14:paraId="48FBFDDD" w14:textId="77777777" w:rsidR="007D3040" w:rsidRPr="008D66D8" w:rsidRDefault="007D3040" w:rsidP="007D3040">
            <w:pPr>
              <w:jc w:val="both"/>
              <w:rPr>
                <w:rFonts w:ascii="Garamond" w:hAnsi="Garamond"/>
                <w:sz w:val="24"/>
                <w:szCs w:val="24"/>
              </w:rPr>
            </w:pPr>
          </w:p>
        </w:tc>
      </w:tr>
      <w:tr w:rsidR="007D3040" w:rsidRPr="008D66D8" w14:paraId="55A3E077" w14:textId="77777777" w:rsidTr="003E3EC2">
        <w:tc>
          <w:tcPr>
            <w:tcW w:w="4990" w:type="dxa"/>
          </w:tcPr>
          <w:p w14:paraId="454FDF90" w14:textId="15124612" w:rsidR="007D3040" w:rsidRPr="003E3EC2" w:rsidRDefault="007D3040" w:rsidP="007D3040">
            <w:pPr>
              <w:rPr>
                <w:rFonts w:ascii="Garamond" w:hAnsi="Garamond"/>
              </w:rPr>
            </w:pPr>
            <w:r w:rsidRPr="003E3EC2">
              <w:rPr>
                <w:rFonts w:ascii="Garamond" w:hAnsi="Garamond"/>
              </w:rPr>
              <w:t>1.Derechos básicos de los usuarios de servicios financieros</w:t>
            </w:r>
          </w:p>
        </w:tc>
        <w:tc>
          <w:tcPr>
            <w:tcW w:w="4990" w:type="dxa"/>
          </w:tcPr>
          <w:p w14:paraId="1D969394" w14:textId="77777777" w:rsidR="007D3040" w:rsidRPr="003E3EC2" w:rsidRDefault="007D3040" w:rsidP="007D3040">
            <w:pPr>
              <w:pStyle w:val="Prrafodelista"/>
              <w:numPr>
                <w:ilvl w:val="0"/>
                <w:numId w:val="32"/>
              </w:numPr>
              <w:jc w:val="both"/>
              <w:rPr>
                <w:rFonts w:ascii="Garamond" w:hAnsi="Garamond"/>
              </w:rPr>
            </w:pPr>
            <w:r w:rsidRPr="003E3EC2">
              <w:rPr>
                <w:rFonts w:ascii="Garamond" w:hAnsi="Garamond"/>
              </w:rPr>
              <w:t xml:space="preserve">Respecto de los modelos de contratos y otros instrumentos utilizados por la Sociedad en relación con las operaciones concertadas con sus clientes, verificar el cumplimiento de lo dispuesto en el punto 2.3.1. “Recaudos mínimos de la relación de consumo - Al momento de la contratación del producto o servicio”, de las normas sobre “Protección de los usuarios de servicios financieros”, mediante la obtención de una muestra de casos determinada a partir del universo de operaciones vigentes durante el período comprendido entre </w:t>
            </w:r>
            <w:proofErr w:type="gramStart"/>
            <w:r w:rsidRPr="003E3EC2">
              <w:rPr>
                <w:rFonts w:ascii="Garamond" w:hAnsi="Garamond"/>
              </w:rPr>
              <w:t>..</w:t>
            </w:r>
            <w:proofErr w:type="gramEnd"/>
            <w:r w:rsidRPr="003E3EC2">
              <w:rPr>
                <w:rFonts w:ascii="Garamond" w:hAnsi="Garamond"/>
              </w:rPr>
              <w:t xml:space="preserve"> y </w:t>
            </w:r>
            <w:proofErr w:type="gramStart"/>
            <w:r w:rsidRPr="003E3EC2">
              <w:rPr>
                <w:rFonts w:ascii="Garamond" w:hAnsi="Garamond"/>
              </w:rPr>
              <w:t>..</w:t>
            </w:r>
            <w:proofErr w:type="gramEnd"/>
            <w:r w:rsidRPr="003E3EC2">
              <w:rPr>
                <w:rFonts w:ascii="Garamond" w:hAnsi="Garamond"/>
              </w:rPr>
              <w:t xml:space="preserve"> de 20</w:t>
            </w:r>
            <w:proofErr w:type="gramStart"/>
            <w:r w:rsidRPr="003E3EC2">
              <w:rPr>
                <w:rFonts w:ascii="Garamond" w:hAnsi="Garamond"/>
              </w:rPr>
              <w:t>..</w:t>
            </w:r>
            <w:proofErr w:type="gramEnd"/>
            <w:r w:rsidRPr="003E3EC2">
              <w:rPr>
                <w:rFonts w:ascii="Garamond" w:hAnsi="Garamond"/>
              </w:rPr>
              <w:t xml:space="preserve"> [debe abarcar el año cubierto por la revisión].</w:t>
            </w:r>
          </w:p>
          <w:p w14:paraId="386972DE" w14:textId="77777777" w:rsidR="007D3040" w:rsidRPr="003E3EC2" w:rsidRDefault="007D3040" w:rsidP="007D3040">
            <w:pPr>
              <w:pStyle w:val="Prrafodelista"/>
              <w:ind w:left="1080" w:firstLine="0"/>
              <w:jc w:val="both"/>
              <w:rPr>
                <w:rFonts w:ascii="Garamond" w:hAnsi="Garamond"/>
              </w:rPr>
            </w:pPr>
          </w:p>
          <w:p w14:paraId="4B514333" w14:textId="77777777" w:rsidR="007D3040" w:rsidRPr="003E3EC2" w:rsidRDefault="007D3040" w:rsidP="007D3040">
            <w:pPr>
              <w:pStyle w:val="Prrafodelista"/>
              <w:numPr>
                <w:ilvl w:val="0"/>
                <w:numId w:val="32"/>
              </w:numPr>
              <w:jc w:val="both"/>
              <w:rPr>
                <w:rFonts w:ascii="Garamond" w:hAnsi="Garamond"/>
              </w:rPr>
            </w:pPr>
            <w:r w:rsidRPr="003E3EC2">
              <w:rPr>
                <w:rFonts w:ascii="Garamond" w:hAnsi="Garamond"/>
              </w:rPr>
              <w:t>Respecto de la muestra de casos seleccionada de acuerdo con lo descripto en el punto precedente, verificar asimismo la inexistencia de cláusulas que restrinjan los derechos de los usuarios o desnaturalicen las obligaciones de los sujetos obligados, señaladas en el punto 2.3.9. “Cláusulas abusivas” de las normas sobre “Protección de los usuarios de servicios financieros”.</w:t>
            </w:r>
          </w:p>
          <w:p w14:paraId="078BDF1D" w14:textId="77777777" w:rsidR="007D3040" w:rsidRPr="003E3EC2" w:rsidRDefault="007D3040" w:rsidP="007D3040">
            <w:pPr>
              <w:pStyle w:val="Prrafodelista"/>
              <w:jc w:val="both"/>
              <w:rPr>
                <w:rFonts w:ascii="Garamond" w:hAnsi="Garamond"/>
              </w:rPr>
            </w:pPr>
          </w:p>
          <w:p w14:paraId="79FFB8AD" w14:textId="77777777" w:rsidR="007D3040" w:rsidRPr="003E3EC2" w:rsidRDefault="007D3040" w:rsidP="007D3040">
            <w:pPr>
              <w:pStyle w:val="Prrafodelista"/>
              <w:numPr>
                <w:ilvl w:val="0"/>
                <w:numId w:val="32"/>
              </w:numPr>
              <w:jc w:val="both"/>
              <w:rPr>
                <w:rFonts w:ascii="Garamond" w:hAnsi="Garamond"/>
              </w:rPr>
            </w:pPr>
            <w:r w:rsidRPr="003E3EC2">
              <w:rPr>
                <w:rFonts w:ascii="Garamond" w:hAnsi="Garamond"/>
              </w:rPr>
              <w:t>Respecto de la muestra de casos seleccionada de acuerdo con lo descripto en el punto 1. precedente, constatar que en los contratos las condiciones que puedan ser modificadas estén taxativamente especificadas; y en caso de existir modificaciones en las condiciones pactadas, verificar para una muestra de casos el cumplimiento de lo dispuesto en el punto 2.3.4. “Cambios de condiciones pactadas” de las normas sobre “Protección de los usuarios de servicios financieros” en cuanto a la notificación al usuario.</w:t>
            </w:r>
          </w:p>
          <w:p w14:paraId="625CC4AC" w14:textId="77777777" w:rsidR="007D3040" w:rsidRPr="003E3EC2" w:rsidRDefault="007D3040" w:rsidP="007D3040">
            <w:pPr>
              <w:pStyle w:val="Prrafodelista"/>
              <w:jc w:val="both"/>
              <w:rPr>
                <w:rFonts w:ascii="Garamond" w:hAnsi="Garamond"/>
              </w:rPr>
            </w:pPr>
          </w:p>
          <w:p w14:paraId="5B4A4693" w14:textId="77777777" w:rsidR="007D3040" w:rsidRPr="003E3EC2" w:rsidRDefault="007D3040" w:rsidP="007D3040">
            <w:pPr>
              <w:pStyle w:val="Prrafodelista"/>
              <w:numPr>
                <w:ilvl w:val="0"/>
                <w:numId w:val="32"/>
              </w:numPr>
              <w:jc w:val="both"/>
              <w:rPr>
                <w:rFonts w:ascii="Garamond" w:hAnsi="Garamond"/>
              </w:rPr>
            </w:pPr>
            <w:r w:rsidRPr="003E3EC2">
              <w:rPr>
                <w:rFonts w:ascii="Garamond" w:hAnsi="Garamond"/>
              </w:rPr>
              <w:t xml:space="preserve">Verificar por medio de la lectura y/o análisis de una muestra de contratos, resúmenes de cuenta y/o casos determinada a partir del universo de operaciones vigentes durante el período comprendido entre </w:t>
            </w:r>
            <w:proofErr w:type="gramStart"/>
            <w:r w:rsidRPr="003E3EC2">
              <w:rPr>
                <w:rFonts w:ascii="Garamond" w:hAnsi="Garamond"/>
              </w:rPr>
              <w:t>..</w:t>
            </w:r>
            <w:proofErr w:type="gramEnd"/>
            <w:r w:rsidRPr="003E3EC2">
              <w:rPr>
                <w:rFonts w:ascii="Garamond" w:hAnsi="Garamond"/>
              </w:rPr>
              <w:t xml:space="preserve"> y </w:t>
            </w:r>
            <w:proofErr w:type="gramStart"/>
            <w:r w:rsidRPr="003E3EC2">
              <w:rPr>
                <w:rFonts w:ascii="Garamond" w:hAnsi="Garamond"/>
              </w:rPr>
              <w:t>..</w:t>
            </w:r>
            <w:proofErr w:type="gramEnd"/>
            <w:r w:rsidRPr="003E3EC2">
              <w:rPr>
                <w:rFonts w:ascii="Garamond" w:hAnsi="Garamond"/>
              </w:rPr>
              <w:t xml:space="preserve"> de 20</w:t>
            </w:r>
            <w:proofErr w:type="gramStart"/>
            <w:r w:rsidRPr="003E3EC2">
              <w:rPr>
                <w:rFonts w:ascii="Garamond" w:hAnsi="Garamond"/>
              </w:rPr>
              <w:t>..</w:t>
            </w:r>
            <w:proofErr w:type="gramEnd"/>
            <w:r w:rsidRPr="003E3EC2">
              <w:rPr>
                <w:rFonts w:ascii="Garamond" w:hAnsi="Garamond"/>
              </w:rPr>
              <w:t xml:space="preserve"> [debe abarcar el año cubierto por la revisión], que las comisiones y cargos cobrados a usuarios se ajusten con lo establecido en el punto 2.3.2. “Comisiones y cargos” de las normas sobre de “Protección de los usuarios de servicios financieros”.</w:t>
            </w:r>
          </w:p>
          <w:p w14:paraId="4B8252EA" w14:textId="77777777" w:rsidR="007D3040" w:rsidRPr="003E3EC2" w:rsidRDefault="007D3040" w:rsidP="007D3040">
            <w:pPr>
              <w:pStyle w:val="Prrafodelista"/>
              <w:jc w:val="both"/>
              <w:rPr>
                <w:rFonts w:ascii="Garamond" w:hAnsi="Garamond"/>
              </w:rPr>
            </w:pPr>
          </w:p>
          <w:p w14:paraId="2BA74750" w14:textId="22DBA9FF" w:rsidR="007D3040" w:rsidRPr="003E3EC2" w:rsidRDefault="007D3040" w:rsidP="007D3040">
            <w:pPr>
              <w:pStyle w:val="Prrafodelista"/>
              <w:numPr>
                <w:ilvl w:val="0"/>
                <w:numId w:val="32"/>
              </w:numPr>
              <w:jc w:val="both"/>
              <w:rPr>
                <w:rFonts w:ascii="Garamond" w:hAnsi="Garamond"/>
              </w:rPr>
            </w:pPr>
            <w:r w:rsidRPr="003E3EC2">
              <w:rPr>
                <w:rFonts w:ascii="Garamond" w:hAnsi="Garamond"/>
              </w:rPr>
              <w:lastRenderedPageBreak/>
              <w:t xml:space="preserve">Verificar lo establecido en el punto 2.3.13. “Seguros como contratación no accesoria al servicio financiero” de las normas sobre “Protección de los usuarios de servicios financieros” en cuanto a que el proveedor no tenga ningún tipo de retribución del usuario adicional al premio determinado por la aseguradora, por medio de la lectura y/o análisis de una muestra de contratos y/o casos determinada a partir del universo de operaciones vigentes durante el período comprendido entre </w:t>
            </w:r>
            <w:proofErr w:type="spellStart"/>
            <w:r w:rsidRPr="003E3EC2">
              <w:rPr>
                <w:rFonts w:ascii="Garamond" w:hAnsi="Garamond"/>
              </w:rPr>
              <w:t>entre</w:t>
            </w:r>
            <w:proofErr w:type="spellEnd"/>
            <w:r w:rsidRPr="003E3EC2">
              <w:rPr>
                <w:rFonts w:ascii="Garamond" w:hAnsi="Garamond"/>
              </w:rPr>
              <w:t xml:space="preserve"> </w:t>
            </w:r>
            <w:proofErr w:type="gramStart"/>
            <w:r w:rsidRPr="003E3EC2">
              <w:rPr>
                <w:rFonts w:ascii="Garamond" w:hAnsi="Garamond"/>
              </w:rPr>
              <w:t>..</w:t>
            </w:r>
            <w:proofErr w:type="gramEnd"/>
            <w:r w:rsidRPr="003E3EC2">
              <w:rPr>
                <w:rFonts w:ascii="Garamond" w:hAnsi="Garamond"/>
              </w:rPr>
              <w:t xml:space="preserve"> y </w:t>
            </w:r>
            <w:proofErr w:type="gramStart"/>
            <w:r w:rsidRPr="003E3EC2">
              <w:rPr>
                <w:rFonts w:ascii="Garamond" w:hAnsi="Garamond"/>
              </w:rPr>
              <w:t>..</w:t>
            </w:r>
            <w:proofErr w:type="gramEnd"/>
            <w:r w:rsidRPr="003E3EC2">
              <w:rPr>
                <w:rFonts w:ascii="Garamond" w:hAnsi="Garamond"/>
              </w:rPr>
              <w:t xml:space="preserve"> de 20</w:t>
            </w:r>
            <w:proofErr w:type="gramStart"/>
            <w:r w:rsidRPr="003E3EC2">
              <w:rPr>
                <w:rFonts w:ascii="Garamond" w:hAnsi="Garamond"/>
              </w:rPr>
              <w:t>..</w:t>
            </w:r>
            <w:proofErr w:type="gramEnd"/>
            <w:r w:rsidRPr="003E3EC2">
              <w:rPr>
                <w:rFonts w:ascii="Garamond" w:hAnsi="Garamond"/>
              </w:rPr>
              <w:t xml:space="preserve"> [debe abarcar el año cubierto por la revisión].</w:t>
            </w:r>
          </w:p>
          <w:p w14:paraId="2F183FB9" w14:textId="77777777" w:rsidR="007D3040" w:rsidRPr="003E3EC2" w:rsidRDefault="007D3040" w:rsidP="007D3040">
            <w:pPr>
              <w:pStyle w:val="Prrafodelista"/>
              <w:jc w:val="both"/>
              <w:rPr>
                <w:rFonts w:ascii="Garamond" w:hAnsi="Garamond"/>
              </w:rPr>
            </w:pPr>
          </w:p>
          <w:p w14:paraId="5C33F063" w14:textId="55C9CADA" w:rsidR="007D3040" w:rsidRPr="003E3EC2" w:rsidRDefault="007D3040" w:rsidP="007D3040">
            <w:pPr>
              <w:pStyle w:val="Prrafodelista"/>
              <w:numPr>
                <w:ilvl w:val="0"/>
                <w:numId w:val="32"/>
              </w:numPr>
              <w:jc w:val="both"/>
              <w:rPr>
                <w:rFonts w:ascii="Garamond" w:hAnsi="Garamond"/>
              </w:rPr>
            </w:pPr>
            <w:r w:rsidRPr="003E3EC2">
              <w:rPr>
                <w:rFonts w:ascii="Garamond" w:hAnsi="Garamond"/>
              </w:rPr>
              <w:t xml:space="preserve">Verificar que la Sociedad cuente con políticas y procedimientos que prevean tareas y acciones que permitan cumplir con lo dispuesto en el punto 2.3.5. “Reintegro de importes” de las normas sobre “Protección de los usuarios de servicios financieros”. Verificar el adecuado cumplimiento a través del análisis de una muestra, determinada a partir del universo de reintegro de importes efectuados durante el período comprendido entre </w:t>
            </w:r>
            <w:proofErr w:type="gramStart"/>
            <w:r w:rsidRPr="003E3EC2">
              <w:rPr>
                <w:rFonts w:ascii="Garamond" w:hAnsi="Garamond"/>
              </w:rPr>
              <w:t>..</w:t>
            </w:r>
            <w:proofErr w:type="gramEnd"/>
            <w:r w:rsidRPr="003E3EC2">
              <w:rPr>
                <w:rFonts w:ascii="Garamond" w:hAnsi="Garamond"/>
              </w:rPr>
              <w:t xml:space="preserve"> y </w:t>
            </w:r>
            <w:proofErr w:type="gramStart"/>
            <w:r w:rsidRPr="003E3EC2">
              <w:rPr>
                <w:rFonts w:ascii="Garamond" w:hAnsi="Garamond"/>
              </w:rPr>
              <w:t>..</w:t>
            </w:r>
            <w:proofErr w:type="gramEnd"/>
            <w:r w:rsidRPr="003E3EC2">
              <w:rPr>
                <w:rFonts w:ascii="Garamond" w:hAnsi="Garamond"/>
              </w:rPr>
              <w:t xml:space="preserve"> de 20</w:t>
            </w:r>
            <w:proofErr w:type="gramStart"/>
            <w:r w:rsidRPr="003E3EC2">
              <w:rPr>
                <w:rFonts w:ascii="Garamond" w:hAnsi="Garamond"/>
              </w:rPr>
              <w:t>..</w:t>
            </w:r>
            <w:proofErr w:type="gramEnd"/>
            <w:r w:rsidRPr="003E3EC2">
              <w:rPr>
                <w:rFonts w:ascii="Garamond" w:hAnsi="Garamond"/>
              </w:rPr>
              <w:t xml:space="preserve"> [debe abarcar el año cubierto por la revisión].</w:t>
            </w:r>
          </w:p>
          <w:p w14:paraId="01FC7559" w14:textId="77777777" w:rsidR="007D3040" w:rsidRPr="003E3EC2" w:rsidRDefault="007D3040" w:rsidP="007D3040">
            <w:pPr>
              <w:pStyle w:val="Prrafodelista"/>
              <w:ind w:left="1080" w:firstLine="0"/>
              <w:jc w:val="both"/>
              <w:rPr>
                <w:rFonts w:ascii="Garamond" w:hAnsi="Garamond"/>
              </w:rPr>
            </w:pPr>
          </w:p>
          <w:p w14:paraId="60156032" w14:textId="01BC14F2" w:rsidR="007D3040" w:rsidRPr="003E3EC2" w:rsidRDefault="007D3040" w:rsidP="007D3040">
            <w:pPr>
              <w:pStyle w:val="Prrafodelista"/>
              <w:numPr>
                <w:ilvl w:val="0"/>
                <w:numId w:val="32"/>
              </w:numPr>
              <w:jc w:val="both"/>
              <w:rPr>
                <w:rFonts w:ascii="Garamond" w:hAnsi="Garamond"/>
              </w:rPr>
            </w:pPr>
            <w:r w:rsidRPr="003E3EC2">
              <w:rPr>
                <w:rFonts w:ascii="Garamond" w:hAnsi="Garamond"/>
              </w:rPr>
              <w:t>Verificar que funcionen correctamente los procesos implementados para dar cumplimiento a lo dispuesto en el punto 2.7., en lo que respecta a la revocación de la aceptación y rescisión de relaciones contractuales.</w:t>
            </w:r>
          </w:p>
          <w:p w14:paraId="4B679371" w14:textId="77777777" w:rsidR="007D3040" w:rsidRPr="003E3EC2" w:rsidRDefault="007D3040" w:rsidP="007D3040">
            <w:pPr>
              <w:pStyle w:val="Prrafodelista"/>
              <w:jc w:val="both"/>
              <w:rPr>
                <w:rFonts w:ascii="Garamond" w:hAnsi="Garamond"/>
              </w:rPr>
            </w:pPr>
          </w:p>
          <w:p w14:paraId="2440665E" w14:textId="1CE22B63" w:rsidR="007D3040" w:rsidRPr="003E3EC2" w:rsidRDefault="007D3040" w:rsidP="007D3040">
            <w:pPr>
              <w:pStyle w:val="Prrafodelista"/>
              <w:ind w:left="1080" w:firstLine="0"/>
              <w:jc w:val="both"/>
              <w:rPr>
                <w:rFonts w:ascii="Garamond" w:hAnsi="Garamond"/>
              </w:rPr>
            </w:pPr>
          </w:p>
        </w:tc>
      </w:tr>
      <w:tr w:rsidR="007D3040" w:rsidRPr="008D66D8" w14:paraId="32A94AE8" w14:textId="77777777" w:rsidTr="003E3EC2">
        <w:tc>
          <w:tcPr>
            <w:tcW w:w="4990" w:type="dxa"/>
          </w:tcPr>
          <w:p w14:paraId="3A384E81" w14:textId="7A398A6C" w:rsidR="007D3040" w:rsidRPr="003E3EC2" w:rsidRDefault="007D3040" w:rsidP="007D3040">
            <w:pPr>
              <w:rPr>
                <w:rFonts w:ascii="Garamond" w:hAnsi="Garamond"/>
              </w:rPr>
            </w:pPr>
            <w:r w:rsidRPr="003E3EC2">
              <w:rPr>
                <w:rFonts w:ascii="Garamond" w:hAnsi="Garamond"/>
              </w:rPr>
              <w:t>2.Servicio de atención al usuario de servicios financieros</w:t>
            </w:r>
          </w:p>
        </w:tc>
        <w:tc>
          <w:tcPr>
            <w:tcW w:w="4990" w:type="dxa"/>
          </w:tcPr>
          <w:p w14:paraId="16A5F58D" w14:textId="516F3A62" w:rsidR="007D3040" w:rsidRPr="003E3EC2" w:rsidRDefault="007D3040" w:rsidP="007D3040">
            <w:pPr>
              <w:pStyle w:val="Prrafodelista"/>
              <w:numPr>
                <w:ilvl w:val="0"/>
                <w:numId w:val="33"/>
              </w:numPr>
              <w:jc w:val="both"/>
              <w:rPr>
                <w:rFonts w:ascii="Garamond" w:hAnsi="Garamond"/>
              </w:rPr>
            </w:pPr>
            <w:r w:rsidRPr="003E3EC2">
              <w:rPr>
                <w:rFonts w:ascii="Garamond" w:hAnsi="Garamond"/>
              </w:rPr>
              <w:t>Verificar que el Directorio de la Sociedad haya designado a un funcionario como responsable de atención al usuario de servicios financieros en carácter de titular y por lo menos otro como suplente según lo prescripto en el punto 3.1.1. “Responsable de atención al usuario de servicios financieros (titular o suplente a cargo)” de las normas sobre de “Protección de usuarios de servicios financieros”.</w:t>
            </w:r>
          </w:p>
          <w:p w14:paraId="6155904B" w14:textId="77777777" w:rsidR="007D3040" w:rsidRPr="003E3EC2" w:rsidRDefault="007D3040" w:rsidP="007D3040">
            <w:pPr>
              <w:pStyle w:val="Prrafodelista"/>
              <w:ind w:left="720" w:firstLine="0"/>
              <w:jc w:val="both"/>
              <w:rPr>
                <w:rFonts w:ascii="Garamond" w:hAnsi="Garamond"/>
              </w:rPr>
            </w:pPr>
          </w:p>
          <w:p w14:paraId="378EDB33" w14:textId="6EBD04DB" w:rsidR="007D3040" w:rsidRPr="003E3EC2" w:rsidRDefault="007D3040" w:rsidP="007D3040">
            <w:pPr>
              <w:pStyle w:val="Prrafodelista"/>
              <w:numPr>
                <w:ilvl w:val="0"/>
                <w:numId w:val="33"/>
              </w:numPr>
              <w:jc w:val="both"/>
              <w:rPr>
                <w:rFonts w:ascii="Garamond" w:hAnsi="Garamond"/>
              </w:rPr>
            </w:pPr>
            <w:r w:rsidRPr="003E3EC2">
              <w:rPr>
                <w:rFonts w:ascii="Garamond" w:hAnsi="Garamond"/>
              </w:rPr>
              <w:t xml:space="preserve">Verificar que se hayan habilitado y se mantengan actualizados (a) el Registro Centralizado de Consultas y Reclamos (RCCR) a que se refiere el punto 3.1.3. “Registro Centralizado de Consultas y Reclamos (RCCR)”; (b) el Registro de Reintegros de Importes (RRI) previsto en el punto 3.1.4. “Registro de Reintegros de Importes (RRI)”; y (c) el Registro de Denuncias ante Instancias Judiciales y/o Administrativas de Defensa del Consumidor (RDJA) establecido en el punto 3.1.5. “Registro de Denuncias ante las Instancias Judiciales y/o Administrativas de Defensa del Consumidor (RDJA)” de las </w:t>
            </w:r>
            <w:r w:rsidRPr="003E3EC2">
              <w:rPr>
                <w:rFonts w:ascii="Garamond" w:hAnsi="Garamond"/>
              </w:rPr>
              <w:lastRenderedPageBreak/>
              <w:t>normas sobre “Protección de usuarios de servicios financieros”.</w:t>
            </w:r>
          </w:p>
          <w:p w14:paraId="41456631" w14:textId="77777777" w:rsidR="007D3040" w:rsidRPr="003E3EC2" w:rsidRDefault="007D3040" w:rsidP="007D3040">
            <w:pPr>
              <w:pStyle w:val="Prrafodelista"/>
              <w:ind w:left="720" w:firstLine="0"/>
              <w:jc w:val="both"/>
              <w:rPr>
                <w:rFonts w:ascii="Garamond" w:hAnsi="Garamond"/>
              </w:rPr>
            </w:pPr>
          </w:p>
          <w:p w14:paraId="6BD79FBD" w14:textId="5A3AA87C" w:rsidR="007D3040" w:rsidRPr="003E3EC2" w:rsidRDefault="007D3040" w:rsidP="007D3040">
            <w:pPr>
              <w:pStyle w:val="Prrafodelista"/>
              <w:numPr>
                <w:ilvl w:val="0"/>
                <w:numId w:val="33"/>
              </w:numPr>
              <w:jc w:val="both"/>
              <w:rPr>
                <w:rFonts w:ascii="Garamond" w:hAnsi="Garamond"/>
              </w:rPr>
            </w:pPr>
            <w:r w:rsidRPr="003E3EC2">
              <w:rPr>
                <w:rFonts w:ascii="Garamond" w:hAnsi="Garamond"/>
              </w:rPr>
              <w:t>Constatar que se elabore y eleve al Directorio o autoridad equivalente, con periodicidad como mínimo trimestral, un reporte acerca de: (i) las consultas y reclamos recibidos; (ii) las intervenciones requeridas por denuncias tramitadas ante las instancias judiciales y/o administrativas de defensa del consumidor que resulten competentes y (iii) los reintegros de importes realizados, en cumplimiento de lo establecido en el punto 3.1.1.8. de las normas sobre “Protección de usuarios de servicios financieros”.</w:t>
            </w:r>
          </w:p>
          <w:p w14:paraId="670FAC33" w14:textId="77777777" w:rsidR="007D3040" w:rsidRPr="003E3EC2" w:rsidRDefault="007D3040" w:rsidP="007D3040">
            <w:pPr>
              <w:pStyle w:val="Prrafodelista"/>
              <w:ind w:left="720" w:firstLine="0"/>
              <w:jc w:val="both"/>
              <w:rPr>
                <w:rFonts w:ascii="Garamond" w:hAnsi="Garamond"/>
              </w:rPr>
            </w:pPr>
          </w:p>
          <w:p w14:paraId="2C623C72" w14:textId="77777777" w:rsidR="007D3040" w:rsidRPr="003E3EC2" w:rsidRDefault="007D3040" w:rsidP="007D3040">
            <w:pPr>
              <w:pStyle w:val="Prrafodelista"/>
              <w:numPr>
                <w:ilvl w:val="0"/>
                <w:numId w:val="33"/>
              </w:numPr>
              <w:jc w:val="both"/>
              <w:rPr>
                <w:rFonts w:ascii="Garamond" w:hAnsi="Garamond"/>
              </w:rPr>
            </w:pPr>
            <w:r w:rsidRPr="003E3EC2">
              <w:rPr>
                <w:rFonts w:ascii="Garamond" w:hAnsi="Garamond"/>
              </w:rPr>
              <w:t>Verificar que el Directorio haya aprobado, previa toma de conocimiento del Comité de Auditoría [para el caso en que la Sociedad cuente con un Comité de Auditoría], los pasos y recaudos a observar para la atención de consultas y reclamos de usuarios según lo establecido en el punto 3.1.2 “Manual de Procedimiento” de las normas sobre “Protección de usuarios de servicios financieros”.</w:t>
            </w:r>
          </w:p>
          <w:p w14:paraId="4FB5B123" w14:textId="77777777" w:rsidR="007D3040" w:rsidRPr="003E3EC2" w:rsidRDefault="007D3040" w:rsidP="007D3040">
            <w:pPr>
              <w:pStyle w:val="Prrafodelista"/>
              <w:jc w:val="both"/>
              <w:rPr>
                <w:rFonts w:ascii="Garamond" w:hAnsi="Garamond"/>
              </w:rPr>
            </w:pPr>
          </w:p>
          <w:p w14:paraId="47798DC9" w14:textId="77777777" w:rsidR="007D3040" w:rsidRPr="003E3EC2" w:rsidRDefault="007D3040" w:rsidP="007D3040">
            <w:pPr>
              <w:pStyle w:val="Prrafodelista"/>
              <w:numPr>
                <w:ilvl w:val="0"/>
                <w:numId w:val="33"/>
              </w:numPr>
              <w:jc w:val="both"/>
              <w:rPr>
                <w:rFonts w:ascii="Garamond" w:hAnsi="Garamond"/>
              </w:rPr>
            </w:pPr>
            <w:r w:rsidRPr="003E3EC2">
              <w:rPr>
                <w:rFonts w:ascii="Garamond" w:hAnsi="Garamond"/>
              </w:rPr>
              <w:t>Constatar que las normas y procedimientos establecidos por la Sociedad prevean las distintas alternativas de presentaciones de consultas y reclamos de los usuarios de servicios financieros tal lo previsto en el punto 3.1.6. “Recepción de las presentaciones y tiempo de respuestas” de las normas sobre “Protección de usuarios de servicios financieros”, y en el punto 3.2.2. acerca de los controles de los usuarios de los usuarios de servicios financieros, y</w:t>
            </w:r>
          </w:p>
          <w:p w14:paraId="1D412EB7" w14:textId="77777777" w:rsidR="007D3040" w:rsidRPr="003E3EC2" w:rsidRDefault="007D3040" w:rsidP="007D3040">
            <w:pPr>
              <w:pStyle w:val="Prrafodelista"/>
              <w:jc w:val="both"/>
              <w:rPr>
                <w:rFonts w:ascii="Garamond" w:hAnsi="Garamond"/>
              </w:rPr>
            </w:pPr>
          </w:p>
          <w:p w14:paraId="69B61D1A" w14:textId="77777777" w:rsidR="007D3040" w:rsidRPr="003E3EC2" w:rsidRDefault="007D3040" w:rsidP="007D3040">
            <w:pPr>
              <w:pStyle w:val="Prrafodelista"/>
              <w:numPr>
                <w:ilvl w:val="0"/>
                <w:numId w:val="33"/>
              </w:numPr>
              <w:jc w:val="both"/>
              <w:rPr>
                <w:rFonts w:ascii="Garamond" w:hAnsi="Garamond"/>
              </w:rPr>
            </w:pPr>
            <w:r w:rsidRPr="003E3EC2">
              <w:rPr>
                <w:rFonts w:ascii="Garamond" w:hAnsi="Garamond"/>
              </w:rPr>
              <w:t>Verificar que la Auditoría Interna de la Sociedad complete al menos anualmente una evaluación integral de los procesos implementados a efectos de dar cumplimiento a las normas sobre “Protección de usuarios de servicios financieros” [en caso de que la Sociedad no cuente con un área de Auditoría Interna, el contador público independiente deberá evaluar los controles del punto 3.2.1.3. no comprendidos en las otras verificaciones prevista en el presente informe.</w:t>
            </w:r>
          </w:p>
          <w:p w14:paraId="0A876CDA" w14:textId="77777777" w:rsidR="007D3040" w:rsidRPr="003E3EC2" w:rsidRDefault="007D3040" w:rsidP="007D3040">
            <w:pPr>
              <w:pStyle w:val="Prrafodelista"/>
              <w:jc w:val="both"/>
              <w:rPr>
                <w:rFonts w:ascii="Garamond" w:hAnsi="Garamond"/>
              </w:rPr>
            </w:pPr>
          </w:p>
          <w:p w14:paraId="1D286B4E" w14:textId="39BA7EAC" w:rsidR="007D3040" w:rsidRPr="003E3EC2" w:rsidRDefault="007D3040" w:rsidP="007D3040">
            <w:pPr>
              <w:pStyle w:val="Prrafodelista"/>
              <w:numPr>
                <w:ilvl w:val="0"/>
                <w:numId w:val="33"/>
              </w:numPr>
              <w:jc w:val="both"/>
              <w:rPr>
                <w:rFonts w:ascii="Garamond" w:hAnsi="Garamond"/>
              </w:rPr>
            </w:pPr>
            <w:r w:rsidRPr="003E3EC2">
              <w:rPr>
                <w:rFonts w:ascii="Garamond" w:hAnsi="Garamond"/>
              </w:rPr>
              <w:t>Verificar que los datos de los responsables sean publicados en la página web y plataforma de los “Proveedores de servicio de pago.</w:t>
            </w:r>
          </w:p>
        </w:tc>
      </w:tr>
    </w:tbl>
    <w:p w14:paraId="3CA660E3" w14:textId="48C84D6D" w:rsidR="004E02FC" w:rsidRDefault="004E02FC" w:rsidP="008D66D8">
      <w:pPr>
        <w:jc w:val="both"/>
        <w:rPr>
          <w:rFonts w:ascii="Garamond" w:hAnsi="Garamond"/>
          <w:i/>
          <w:szCs w:val="24"/>
        </w:rPr>
      </w:pPr>
    </w:p>
    <w:p w14:paraId="5A61139E" w14:textId="28C4B79C" w:rsidR="004E02FC" w:rsidRPr="000D3868" w:rsidRDefault="004E02FC" w:rsidP="000D3868">
      <w:pPr>
        <w:rPr>
          <w:rFonts w:ascii="Garamond" w:hAnsi="Garamond"/>
          <w:i/>
          <w:szCs w:val="24"/>
        </w:rPr>
      </w:pPr>
      <w:r>
        <w:rPr>
          <w:rFonts w:ascii="Garamond" w:hAnsi="Garamond"/>
          <w:i/>
          <w:szCs w:val="24"/>
        </w:rPr>
        <w:br w:type="page"/>
      </w:r>
    </w:p>
    <w:p w14:paraId="593A876A" w14:textId="4906901A" w:rsidR="004E02FC" w:rsidRPr="0085295C" w:rsidRDefault="004E02FC" w:rsidP="004E02FC">
      <w:pPr>
        <w:ind w:right="115"/>
        <w:jc w:val="right"/>
        <w:rPr>
          <w:rFonts w:ascii="Garamond" w:hAnsi="Garamond"/>
          <w:b/>
          <w:sz w:val="24"/>
          <w:szCs w:val="24"/>
        </w:rPr>
      </w:pPr>
      <w:r w:rsidRPr="0085295C">
        <w:rPr>
          <w:rFonts w:ascii="Garamond" w:hAnsi="Garamond"/>
          <w:b/>
          <w:sz w:val="24"/>
          <w:szCs w:val="24"/>
        </w:rPr>
        <w:lastRenderedPageBreak/>
        <w:t>ANEXO</w:t>
      </w:r>
      <w:r w:rsidRPr="0085295C">
        <w:rPr>
          <w:rFonts w:ascii="Garamond" w:hAnsi="Garamond"/>
          <w:b/>
          <w:spacing w:val="-2"/>
          <w:sz w:val="24"/>
          <w:szCs w:val="24"/>
        </w:rPr>
        <w:t xml:space="preserve"> </w:t>
      </w:r>
      <w:r w:rsidRPr="0085295C">
        <w:rPr>
          <w:rFonts w:ascii="Garamond" w:hAnsi="Garamond"/>
          <w:b/>
          <w:sz w:val="24"/>
          <w:szCs w:val="24"/>
        </w:rPr>
        <w:t>I</w:t>
      </w:r>
      <w:r>
        <w:rPr>
          <w:rFonts w:ascii="Garamond" w:hAnsi="Garamond"/>
          <w:b/>
          <w:sz w:val="24"/>
          <w:szCs w:val="24"/>
        </w:rPr>
        <w:t>I</w:t>
      </w:r>
    </w:p>
    <w:p w14:paraId="3569C061" w14:textId="77777777" w:rsidR="004E02FC" w:rsidRPr="0085295C" w:rsidRDefault="004E02FC" w:rsidP="004E02FC">
      <w:pPr>
        <w:pStyle w:val="Textoindependiente"/>
        <w:rPr>
          <w:rFonts w:ascii="Garamond" w:hAnsi="Garamond"/>
          <w:b/>
        </w:rPr>
      </w:pPr>
    </w:p>
    <w:p w14:paraId="35061F08" w14:textId="77777777" w:rsidR="004E02FC" w:rsidRPr="0085295C" w:rsidRDefault="004E02FC" w:rsidP="004E02FC">
      <w:pPr>
        <w:pStyle w:val="Textoindependiente"/>
        <w:spacing w:before="10"/>
        <w:rPr>
          <w:rFonts w:ascii="Garamond" w:hAnsi="Garamond"/>
          <w:b/>
        </w:rPr>
      </w:pPr>
    </w:p>
    <w:p w14:paraId="1DC4A94D" w14:textId="77777777" w:rsidR="000D3868" w:rsidRPr="00943216" w:rsidRDefault="000D3868" w:rsidP="000D3868">
      <w:pPr>
        <w:pStyle w:val="Puesto"/>
        <w:rPr>
          <w:rFonts w:ascii="Garamond" w:hAnsi="Garamond"/>
          <w:w w:val="105"/>
          <w:szCs w:val="24"/>
          <w:u w:val="none"/>
        </w:rPr>
      </w:pPr>
      <w:r w:rsidRPr="00943216">
        <w:rPr>
          <w:rFonts w:ascii="Garamond" w:hAnsi="Garamond"/>
          <w:w w:val="105"/>
          <w:szCs w:val="24"/>
          <w:u w:val="none"/>
        </w:rPr>
        <w:t xml:space="preserve">INFORME ESPECIAL DE CONTADOR PÚBLICO INDEPENDIENTE </w:t>
      </w:r>
    </w:p>
    <w:p w14:paraId="1C9FA958" w14:textId="77777777" w:rsidR="000D3868" w:rsidRPr="000D3868" w:rsidRDefault="000D3868" w:rsidP="000D3868">
      <w:pPr>
        <w:jc w:val="center"/>
        <w:rPr>
          <w:rFonts w:ascii="Garamond" w:hAnsi="Garamond"/>
          <w:b/>
          <w:snapToGrid w:val="0"/>
          <w:w w:val="105"/>
          <w:sz w:val="24"/>
          <w:szCs w:val="24"/>
          <w:lang w:eastAsia="es-ES"/>
        </w:rPr>
      </w:pPr>
      <w:r w:rsidRPr="000D3868">
        <w:rPr>
          <w:rFonts w:ascii="Garamond" w:hAnsi="Garamond"/>
          <w:b/>
          <w:snapToGrid w:val="0"/>
          <w:w w:val="105"/>
          <w:sz w:val="24"/>
          <w:szCs w:val="24"/>
          <w:lang w:eastAsia="es-ES"/>
        </w:rPr>
        <w:t>SOBRE EL CUMPLIMIENTO DE LAS NORMAS DEL BCRA POR PARTE DE LOS PROVEEDORES DE SERVICIOS DE PAGO</w:t>
      </w:r>
    </w:p>
    <w:p w14:paraId="46410E24" w14:textId="42CDE3FD" w:rsidR="008D66D8" w:rsidRDefault="008D66D8" w:rsidP="008D66D8">
      <w:pPr>
        <w:jc w:val="both"/>
        <w:rPr>
          <w:rFonts w:ascii="Garamond" w:hAnsi="Garamond"/>
          <w:i/>
          <w:szCs w:val="24"/>
        </w:rPr>
      </w:pPr>
    </w:p>
    <w:p w14:paraId="34305B8D" w14:textId="77777777" w:rsidR="000D3868" w:rsidRDefault="000D3868" w:rsidP="008D66D8">
      <w:pPr>
        <w:jc w:val="both"/>
        <w:rPr>
          <w:rFonts w:ascii="Garamond" w:hAnsi="Garamond"/>
          <w:i/>
          <w:szCs w:val="24"/>
        </w:rPr>
      </w:pPr>
    </w:p>
    <w:p w14:paraId="46FB3B90" w14:textId="146B1281" w:rsidR="004E02FC" w:rsidRDefault="004E02FC" w:rsidP="004E02FC">
      <w:pPr>
        <w:jc w:val="both"/>
        <w:rPr>
          <w:rFonts w:ascii="Garamond" w:hAnsi="Garamond"/>
          <w:i/>
          <w:sz w:val="24"/>
          <w:szCs w:val="24"/>
        </w:rPr>
      </w:pPr>
      <w:r w:rsidRPr="004E02FC">
        <w:rPr>
          <w:rFonts w:ascii="Garamond" w:hAnsi="Garamond"/>
          <w:i/>
          <w:sz w:val="24"/>
          <w:szCs w:val="24"/>
        </w:rPr>
        <w:t>[Incluir hallazg</w:t>
      </w:r>
      <w:r w:rsidR="000D3868">
        <w:rPr>
          <w:rFonts w:ascii="Garamond" w:hAnsi="Garamond"/>
          <w:i/>
          <w:sz w:val="24"/>
          <w:szCs w:val="24"/>
        </w:rPr>
        <w:t>os</w:t>
      </w:r>
      <w:r w:rsidRPr="004E02FC">
        <w:rPr>
          <w:rFonts w:ascii="Garamond" w:hAnsi="Garamond"/>
          <w:i/>
          <w:sz w:val="24"/>
          <w:szCs w:val="24"/>
        </w:rPr>
        <w:t>]</w:t>
      </w:r>
      <w:bookmarkStart w:id="1" w:name="_GoBack"/>
      <w:bookmarkEnd w:id="1"/>
    </w:p>
    <w:p w14:paraId="6AB19988" w14:textId="77777777" w:rsidR="000D3868" w:rsidRDefault="000D3868" w:rsidP="004E02FC">
      <w:pPr>
        <w:jc w:val="both"/>
        <w:rPr>
          <w:rFonts w:ascii="Garamond" w:hAnsi="Garamond"/>
          <w:i/>
          <w:sz w:val="24"/>
          <w:szCs w:val="24"/>
        </w:rPr>
      </w:pPr>
    </w:p>
    <w:tbl>
      <w:tblPr>
        <w:tblStyle w:val="Tablaconcuadrcula"/>
        <w:tblW w:w="0" w:type="auto"/>
        <w:tblLook w:val="04A0" w:firstRow="1" w:lastRow="0" w:firstColumn="1" w:lastColumn="0" w:noHBand="0" w:noVBand="1"/>
      </w:tblPr>
      <w:tblGrid>
        <w:gridCol w:w="4990"/>
        <w:gridCol w:w="4990"/>
      </w:tblGrid>
      <w:tr w:rsidR="000D3868" w14:paraId="4AE2112C" w14:textId="77777777" w:rsidTr="000D3868">
        <w:tc>
          <w:tcPr>
            <w:tcW w:w="4990" w:type="dxa"/>
          </w:tcPr>
          <w:p w14:paraId="7002F343" w14:textId="6C9449F3" w:rsidR="000D3868" w:rsidRPr="000D3868" w:rsidRDefault="000D3868" w:rsidP="000D3868">
            <w:pPr>
              <w:jc w:val="center"/>
              <w:rPr>
                <w:rFonts w:ascii="Garamond" w:hAnsi="Garamond"/>
                <w:i/>
                <w:sz w:val="24"/>
                <w:szCs w:val="24"/>
              </w:rPr>
            </w:pPr>
            <w:r w:rsidRPr="000D3868">
              <w:rPr>
                <w:rFonts w:ascii="Garamond" w:eastAsia="Arial MT" w:hAnsi="Garamond" w:cs="Arial MT"/>
                <w:b/>
                <w:w w:val="105"/>
                <w:sz w:val="24"/>
                <w:szCs w:val="24"/>
              </w:rPr>
              <w:t>Procedimientos realizados</w:t>
            </w:r>
          </w:p>
        </w:tc>
        <w:tc>
          <w:tcPr>
            <w:tcW w:w="4990" w:type="dxa"/>
          </w:tcPr>
          <w:p w14:paraId="3C3B52BE" w14:textId="17E27AED" w:rsidR="000D3868" w:rsidRDefault="000D3868" w:rsidP="000D3868">
            <w:pPr>
              <w:jc w:val="center"/>
              <w:rPr>
                <w:rFonts w:ascii="Garamond" w:hAnsi="Garamond"/>
                <w:i/>
                <w:sz w:val="24"/>
                <w:szCs w:val="24"/>
              </w:rPr>
            </w:pPr>
            <w:r w:rsidRPr="000D3868">
              <w:rPr>
                <w:rFonts w:ascii="Garamond" w:eastAsia="Arial MT" w:hAnsi="Garamond" w:cs="Arial MT"/>
                <w:b/>
                <w:w w:val="105"/>
                <w:sz w:val="24"/>
                <w:szCs w:val="24"/>
              </w:rPr>
              <w:t>Hallazgos que afectan la información objeto del encargo</w:t>
            </w:r>
          </w:p>
        </w:tc>
      </w:tr>
      <w:tr w:rsidR="000D3868" w14:paraId="16CA944A" w14:textId="77777777" w:rsidTr="000D3868">
        <w:tc>
          <w:tcPr>
            <w:tcW w:w="4990" w:type="dxa"/>
          </w:tcPr>
          <w:p w14:paraId="5DB9B021" w14:textId="35551610" w:rsidR="000D3868" w:rsidRPr="000D3868" w:rsidRDefault="000D3868" w:rsidP="000D3868">
            <w:pPr>
              <w:pStyle w:val="Prrafodelista"/>
              <w:numPr>
                <w:ilvl w:val="0"/>
                <w:numId w:val="34"/>
              </w:numPr>
              <w:jc w:val="both"/>
              <w:rPr>
                <w:rFonts w:ascii="Garamond" w:hAnsi="Garamond"/>
                <w:sz w:val="24"/>
                <w:szCs w:val="24"/>
              </w:rPr>
            </w:pPr>
            <w:proofErr w:type="spellStart"/>
            <w:r w:rsidRPr="000D3868">
              <w:rPr>
                <w:rFonts w:ascii="Garamond" w:hAnsi="Garamond"/>
                <w:sz w:val="24"/>
                <w:szCs w:val="24"/>
              </w:rPr>
              <w:t>Cojetar</w:t>
            </w:r>
            <w:proofErr w:type="spellEnd"/>
            <w:r w:rsidRPr="000D3868">
              <w:rPr>
                <w:rFonts w:ascii="Garamond" w:hAnsi="Garamond"/>
                <w:sz w:val="24"/>
                <w:szCs w:val="24"/>
              </w:rPr>
              <w:t>….</w:t>
            </w:r>
          </w:p>
        </w:tc>
        <w:tc>
          <w:tcPr>
            <w:tcW w:w="4990" w:type="dxa"/>
          </w:tcPr>
          <w:p w14:paraId="37A6D873" w14:textId="77777777" w:rsidR="000D3868" w:rsidRDefault="000D3868" w:rsidP="004E02FC">
            <w:pPr>
              <w:jc w:val="both"/>
              <w:rPr>
                <w:rFonts w:ascii="Garamond" w:hAnsi="Garamond"/>
                <w:i/>
                <w:sz w:val="24"/>
                <w:szCs w:val="24"/>
              </w:rPr>
            </w:pPr>
          </w:p>
        </w:tc>
      </w:tr>
      <w:tr w:rsidR="000D3868" w14:paraId="4D8751E2" w14:textId="77777777" w:rsidTr="000D3868">
        <w:tc>
          <w:tcPr>
            <w:tcW w:w="4990" w:type="dxa"/>
          </w:tcPr>
          <w:p w14:paraId="74A78C8F" w14:textId="4A405617" w:rsidR="000D3868" w:rsidRPr="000D3868" w:rsidRDefault="000D3868" w:rsidP="000D3868">
            <w:pPr>
              <w:pStyle w:val="Prrafodelista"/>
              <w:numPr>
                <w:ilvl w:val="0"/>
                <w:numId w:val="34"/>
              </w:numPr>
              <w:jc w:val="both"/>
              <w:rPr>
                <w:rFonts w:ascii="Garamond" w:hAnsi="Garamond"/>
                <w:sz w:val="24"/>
                <w:szCs w:val="24"/>
              </w:rPr>
            </w:pPr>
            <w:r w:rsidRPr="000D3868">
              <w:rPr>
                <w:rFonts w:ascii="Garamond" w:hAnsi="Garamond"/>
                <w:sz w:val="24"/>
                <w:szCs w:val="24"/>
              </w:rPr>
              <w:t>Recalcular…</w:t>
            </w:r>
          </w:p>
        </w:tc>
        <w:tc>
          <w:tcPr>
            <w:tcW w:w="4990" w:type="dxa"/>
          </w:tcPr>
          <w:p w14:paraId="5AC83432" w14:textId="77777777" w:rsidR="000D3868" w:rsidRDefault="000D3868" w:rsidP="004E02FC">
            <w:pPr>
              <w:jc w:val="both"/>
              <w:rPr>
                <w:rFonts w:ascii="Garamond" w:hAnsi="Garamond"/>
                <w:i/>
                <w:sz w:val="24"/>
                <w:szCs w:val="24"/>
              </w:rPr>
            </w:pPr>
          </w:p>
        </w:tc>
      </w:tr>
      <w:tr w:rsidR="000D3868" w14:paraId="4490AAD4" w14:textId="77777777" w:rsidTr="000D3868">
        <w:tc>
          <w:tcPr>
            <w:tcW w:w="4990" w:type="dxa"/>
          </w:tcPr>
          <w:p w14:paraId="5B5D1E45" w14:textId="69087C4A" w:rsidR="000D3868" w:rsidRPr="000D3868" w:rsidRDefault="000D3868" w:rsidP="000D3868">
            <w:pPr>
              <w:pStyle w:val="Prrafodelista"/>
              <w:numPr>
                <w:ilvl w:val="0"/>
                <w:numId w:val="34"/>
              </w:numPr>
              <w:jc w:val="both"/>
              <w:rPr>
                <w:rFonts w:ascii="Garamond" w:hAnsi="Garamond"/>
                <w:sz w:val="24"/>
                <w:szCs w:val="24"/>
              </w:rPr>
            </w:pPr>
            <w:r w:rsidRPr="000D3868">
              <w:rPr>
                <w:rFonts w:ascii="Garamond" w:hAnsi="Garamond"/>
                <w:sz w:val="24"/>
                <w:szCs w:val="24"/>
              </w:rPr>
              <w:t>(Describir otros procedimientos)</w:t>
            </w:r>
          </w:p>
        </w:tc>
        <w:tc>
          <w:tcPr>
            <w:tcW w:w="4990" w:type="dxa"/>
          </w:tcPr>
          <w:p w14:paraId="1E5F2EBC" w14:textId="77777777" w:rsidR="000D3868" w:rsidRDefault="000D3868" w:rsidP="004E02FC">
            <w:pPr>
              <w:jc w:val="both"/>
              <w:rPr>
                <w:rFonts w:ascii="Garamond" w:hAnsi="Garamond"/>
                <w:i/>
                <w:sz w:val="24"/>
                <w:szCs w:val="24"/>
              </w:rPr>
            </w:pPr>
          </w:p>
        </w:tc>
      </w:tr>
    </w:tbl>
    <w:p w14:paraId="3A5BD8DD" w14:textId="77777777" w:rsidR="000D3868" w:rsidRDefault="000D3868" w:rsidP="004E02FC">
      <w:pPr>
        <w:jc w:val="both"/>
        <w:rPr>
          <w:rFonts w:ascii="Garamond" w:hAnsi="Garamond"/>
          <w:i/>
          <w:sz w:val="24"/>
          <w:szCs w:val="24"/>
        </w:rPr>
      </w:pPr>
    </w:p>
    <w:p w14:paraId="6FB03E91" w14:textId="77777777" w:rsidR="004E02FC" w:rsidRPr="008D66D8" w:rsidRDefault="004E02FC" w:rsidP="008D66D8">
      <w:pPr>
        <w:jc w:val="both"/>
        <w:rPr>
          <w:rFonts w:ascii="Garamond" w:hAnsi="Garamond"/>
          <w:i/>
          <w:szCs w:val="24"/>
        </w:rPr>
      </w:pPr>
    </w:p>
    <w:sectPr w:rsidR="004E02FC" w:rsidRPr="008D66D8">
      <w:headerReference w:type="default" r:id="rId8"/>
      <w:pgSz w:w="11910" w:h="16840"/>
      <w:pgMar w:top="1900" w:right="960" w:bottom="280" w:left="960" w:header="107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A65F9" w14:textId="77777777" w:rsidR="003349A1" w:rsidRDefault="003349A1">
      <w:r>
        <w:separator/>
      </w:r>
    </w:p>
  </w:endnote>
  <w:endnote w:type="continuationSeparator" w:id="0">
    <w:p w14:paraId="5423A530" w14:textId="77777777" w:rsidR="003349A1" w:rsidRDefault="0033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21347" w14:textId="77777777" w:rsidR="003349A1" w:rsidRDefault="003349A1">
      <w:r>
        <w:separator/>
      </w:r>
    </w:p>
  </w:footnote>
  <w:footnote w:type="continuationSeparator" w:id="0">
    <w:p w14:paraId="6C74803C" w14:textId="77777777" w:rsidR="003349A1" w:rsidRDefault="003349A1">
      <w:r>
        <w:continuationSeparator/>
      </w:r>
    </w:p>
  </w:footnote>
  <w:footnote w:id="1">
    <w:p w14:paraId="0840D84D" w14:textId="23D76692" w:rsidR="00994B05" w:rsidRPr="00EE30D1" w:rsidRDefault="00994B05" w:rsidP="00994B05">
      <w:pPr>
        <w:pStyle w:val="Textonotapie"/>
        <w:jc w:val="both"/>
        <w:rPr>
          <w:rFonts w:ascii="Garamond" w:hAnsi="Garamond"/>
          <w:sz w:val="16"/>
          <w:szCs w:val="16"/>
          <w:lang w:val="es-419"/>
        </w:rPr>
      </w:pPr>
      <w:r w:rsidRPr="00EE30D1">
        <w:rPr>
          <w:rStyle w:val="Refdenotaalpie"/>
          <w:rFonts w:ascii="Garamond" w:hAnsi="Garamond"/>
          <w:sz w:val="16"/>
          <w:szCs w:val="16"/>
        </w:rPr>
        <w:footnoteRef/>
      </w:r>
      <w:r w:rsidRPr="00EE30D1">
        <w:rPr>
          <w:rFonts w:ascii="Garamond" w:hAnsi="Garamond"/>
          <w:sz w:val="16"/>
          <w:szCs w:val="16"/>
        </w:rPr>
        <w:t xml:space="preserve"> </w:t>
      </w:r>
      <w:r w:rsidR="00602EEA">
        <w:rPr>
          <w:rFonts w:ascii="Garamond" w:hAnsi="Garamond"/>
          <w:sz w:val="16"/>
          <w:szCs w:val="16"/>
        </w:rPr>
        <w:t>El m</w:t>
      </w:r>
      <w:r w:rsidRPr="00EE30D1">
        <w:rPr>
          <w:rFonts w:ascii="Garamond" w:hAnsi="Garamond"/>
          <w:sz w:val="16"/>
          <w:szCs w:val="16"/>
        </w:rPr>
        <w:t>odelo</w:t>
      </w:r>
      <w:r w:rsidR="00EE30D1">
        <w:rPr>
          <w:rFonts w:ascii="Garamond" w:hAnsi="Garamond"/>
          <w:sz w:val="16"/>
          <w:szCs w:val="16"/>
        </w:rPr>
        <w:t xml:space="preserve"> </w:t>
      </w:r>
      <w:r w:rsidR="00602EEA">
        <w:rPr>
          <w:rFonts w:ascii="Garamond" w:hAnsi="Garamond"/>
          <w:sz w:val="16"/>
          <w:szCs w:val="16"/>
        </w:rPr>
        <w:t>d</w:t>
      </w:r>
      <w:r w:rsidRPr="00EE30D1">
        <w:rPr>
          <w:rFonts w:ascii="Garamond" w:hAnsi="Garamond"/>
          <w:sz w:val="16"/>
          <w:szCs w:val="16"/>
        </w:rPr>
        <w:t>e informe es meramente ilustrativo y no es de aplicación obligatoria</w:t>
      </w:r>
      <w:r w:rsidRPr="00EE30D1">
        <w:rPr>
          <w:rFonts w:ascii="Garamond" w:hAnsi="Garamond"/>
          <w:sz w:val="16"/>
          <w:szCs w:val="16"/>
          <w:lang w:val="es-419"/>
        </w:rPr>
        <w:t>.</w:t>
      </w:r>
      <w:r w:rsidR="00602EEA">
        <w:rPr>
          <w:rFonts w:ascii="Garamond" w:hAnsi="Garamond"/>
          <w:sz w:val="16"/>
          <w:szCs w:val="16"/>
          <w:lang w:val="es-419"/>
        </w:rPr>
        <w:t xml:space="preserve"> </w:t>
      </w:r>
      <w:r w:rsidR="00602EEA" w:rsidRPr="00602EEA">
        <w:rPr>
          <w:rFonts w:ascii="Garamond" w:hAnsi="Garamond"/>
          <w:sz w:val="16"/>
          <w:szCs w:val="16"/>
          <w:lang w:val="es-419"/>
        </w:rPr>
        <w:t>El contador determinará, sobre la base de su crite</w:t>
      </w:r>
      <w:r w:rsidR="00A11107">
        <w:rPr>
          <w:rFonts w:ascii="Garamond" w:hAnsi="Garamond"/>
          <w:sz w:val="16"/>
          <w:szCs w:val="16"/>
          <w:lang w:val="es-419"/>
        </w:rPr>
        <w:t>rio profesional, el contenido y su redacción</w:t>
      </w:r>
      <w:r w:rsidR="00602EEA" w:rsidRPr="00602EEA">
        <w:rPr>
          <w:rFonts w:ascii="Garamond" w:hAnsi="Garamond"/>
          <w:sz w:val="16"/>
          <w:szCs w:val="16"/>
          <w:lang w:val="es-419"/>
        </w:rPr>
        <w:t>.</w:t>
      </w:r>
    </w:p>
  </w:footnote>
  <w:footnote w:id="2">
    <w:p w14:paraId="40259CD8" w14:textId="2C74A8C0"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w:t>
      </w:r>
      <w:r w:rsidR="00200C64">
        <w:rPr>
          <w:rFonts w:ascii="Garamond" w:hAnsi="Garamond"/>
          <w:sz w:val="16"/>
          <w:szCs w:val="16"/>
        </w:rPr>
        <w:t>Adaptar según corresponda de acuerdo con la naturaleza del ente. Por ejemplo, en una Sociedad Anónima: “Presidente y Directores”, en una sociedad de responsabilidad limitada: “Socios Gerentes”, etc.</w:t>
      </w:r>
    </w:p>
  </w:footnote>
  <w:footnote w:id="3">
    <w:p w14:paraId="7DFED52B" w14:textId="5AA1B50C"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00200C64">
        <w:rPr>
          <w:rFonts w:ascii="Garamond" w:hAnsi="Garamond"/>
          <w:sz w:val="16"/>
          <w:szCs w:val="16"/>
        </w:rPr>
        <w:t xml:space="preserve"> </w:t>
      </w:r>
      <w:r w:rsidR="00200C64" w:rsidRPr="00200C64">
        <w:rPr>
          <w:rFonts w:ascii="Garamond" w:hAnsi="Garamond"/>
          <w:sz w:val="16"/>
          <w:szCs w:val="16"/>
        </w:rPr>
        <w:t>Denominación de la entidad.</w:t>
      </w:r>
    </w:p>
  </w:footnote>
  <w:footnote w:id="4">
    <w:p w14:paraId="3444D67F" w14:textId="77777777"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5C91404D" w14:textId="7C9CBAEE" w:rsidR="00994B05" w:rsidRPr="00EE30D1" w:rsidRDefault="00994B05" w:rsidP="00994B05">
      <w:pPr>
        <w:pStyle w:val="Textonotapie"/>
        <w:rPr>
          <w:rFonts w:ascii="Garamond" w:hAnsi="Garamond"/>
          <w:sz w:val="16"/>
          <w:szCs w:val="16"/>
        </w:rPr>
      </w:pPr>
      <w:r w:rsidRPr="00EE30D1">
        <w:rPr>
          <w:rStyle w:val="Refdenotaalpie"/>
          <w:sz w:val="14"/>
          <w:szCs w:val="14"/>
        </w:rPr>
        <w:footnoteRef/>
      </w:r>
      <w:r w:rsidRPr="00EE30D1">
        <w:rPr>
          <w:rStyle w:val="Refdenotaalpie"/>
          <w:sz w:val="14"/>
          <w:szCs w:val="14"/>
        </w:rPr>
        <w:t xml:space="preserve"> </w:t>
      </w:r>
      <w:r w:rsidR="0072720B">
        <w:rPr>
          <w:rFonts w:ascii="Garamond" w:hAnsi="Garamond"/>
          <w:sz w:val="16"/>
          <w:szCs w:val="16"/>
        </w:rPr>
        <w:t>Adaptar según corresponda.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E0ED2" w14:textId="4222B9D9" w:rsidR="004D7A67" w:rsidRDefault="004D7A67">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2E98"/>
    <w:multiLevelType w:val="hybridMultilevel"/>
    <w:tmpl w:val="139CA382"/>
    <w:lvl w:ilvl="0" w:tplc="FD6EEDA2">
      <w:start w:val="1"/>
      <w:numFmt w:val="low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 w15:restartNumberingAfterBreak="0">
    <w:nsid w:val="07921005"/>
    <w:multiLevelType w:val="hybridMultilevel"/>
    <w:tmpl w:val="6D44440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B6D0F84"/>
    <w:multiLevelType w:val="hybridMultilevel"/>
    <w:tmpl w:val="23C6E958"/>
    <w:lvl w:ilvl="0" w:tplc="963627DA">
      <w:start w:val="1"/>
      <w:numFmt w:val="upp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0BC001F8"/>
    <w:multiLevelType w:val="hybridMultilevel"/>
    <w:tmpl w:val="AD426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DFF2F23"/>
    <w:multiLevelType w:val="hybridMultilevel"/>
    <w:tmpl w:val="DE586E88"/>
    <w:lvl w:ilvl="0" w:tplc="8D8A582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0D333E8"/>
    <w:multiLevelType w:val="hybridMultilevel"/>
    <w:tmpl w:val="F2AAEE98"/>
    <w:lvl w:ilvl="0" w:tplc="2C0A0019">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6" w15:restartNumberingAfterBreak="0">
    <w:nsid w:val="11407868"/>
    <w:multiLevelType w:val="hybridMultilevel"/>
    <w:tmpl w:val="E86E7BA2"/>
    <w:lvl w:ilvl="0" w:tplc="FD22856E">
      <w:start w:val="1"/>
      <w:numFmt w:val="lowerRoman"/>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C785C8A"/>
    <w:multiLevelType w:val="hybridMultilevel"/>
    <w:tmpl w:val="CFD81A1A"/>
    <w:lvl w:ilvl="0" w:tplc="5B08D7EA">
      <w:start w:val="1"/>
      <w:numFmt w:val="bullet"/>
      <w:lvlText w:val="-"/>
      <w:lvlJc w:val="left"/>
      <w:pPr>
        <w:ind w:left="720" w:hanging="360"/>
      </w:pPr>
      <w:rPr>
        <w:rFonts w:ascii="Garamond" w:eastAsia="Times New Roman" w:hAnsi="Garamond"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2E86602"/>
    <w:multiLevelType w:val="hybridMultilevel"/>
    <w:tmpl w:val="46048040"/>
    <w:lvl w:ilvl="0" w:tplc="2C0A0019">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9" w15:restartNumberingAfterBreak="0">
    <w:nsid w:val="26F700BB"/>
    <w:multiLevelType w:val="hybridMultilevel"/>
    <w:tmpl w:val="9746FB1E"/>
    <w:lvl w:ilvl="0" w:tplc="9CCEFD5C">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78272EE"/>
    <w:multiLevelType w:val="hybridMultilevel"/>
    <w:tmpl w:val="C6C8815C"/>
    <w:lvl w:ilvl="0" w:tplc="B34295A8">
      <w:start w:val="1"/>
      <w:numFmt w:val="low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1" w15:restartNumberingAfterBreak="0">
    <w:nsid w:val="3508294F"/>
    <w:multiLevelType w:val="hybridMultilevel"/>
    <w:tmpl w:val="DD34BB2A"/>
    <w:lvl w:ilvl="0" w:tplc="CDF23A94">
      <w:start w:val="1"/>
      <w:numFmt w:val="lowerRoman"/>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54316D3"/>
    <w:multiLevelType w:val="hybridMultilevel"/>
    <w:tmpl w:val="B8BED1B2"/>
    <w:lvl w:ilvl="0" w:tplc="2C0A0019">
      <w:start w:val="1"/>
      <w:numFmt w:val="lowerLetter"/>
      <w:lvlText w:val="%1."/>
      <w:lvlJc w:val="left"/>
      <w:pPr>
        <w:ind w:left="2160" w:hanging="360"/>
      </w:pPr>
    </w:lvl>
    <w:lvl w:ilvl="1" w:tplc="2C0A0019">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3" w15:restartNumberingAfterBreak="0">
    <w:nsid w:val="35A074B3"/>
    <w:multiLevelType w:val="hybridMultilevel"/>
    <w:tmpl w:val="B122ED2E"/>
    <w:lvl w:ilvl="0" w:tplc="CC6AAA3E">
      <w:start w:val="1"/>
      <w:numFmt w:val="lowerLetter"/>
      <w:lvlText w:val="%1."/>
      <w:lvlJc w:val="left"/>
      <w:pPr>
        <w:ind w:left="2160" w:hanging="360"/>
      </w:pPr>
      <w:rPr>
        <w:rFonts w:hint="default"/>
      </w:r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4" w15:restartNumberingAfterBreak="0">
    <w:nsid w:val="3A1209E5"/>
    <w:multiLevelType w:val="hybridMultilevel"/>
    <w:tmpl w:val="0AA80E3E"/>
    <w:lvl w:ilvl="0" w:tplc="31B4479E">
      <w:start w:val="1"/>
      <w:numFmt w:val="upperLetter"/>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5" w15:restartNumberingAfterBreak="0">
    <w:nsid w:val="3BE46ABA"/>
    <w:multiLevelType w:val="hybridMultilevel"/>
    <w:tmpl w:val="349CA0CA"/>
    <w:lvl w:ilvl="0" w:tplc="5B08D7EA">
      <w:start w:val="1"/>
      <w:numFmt w:val="bullet"/>
      <w:lvlText w:val="-"/>
      <w:lvlJc w:val="left"/>
      <w:pPr>
        <w:ind w:left="720" w:hanging="360"/>
      </w:pPr>
      <w:rPr>
        <w:rFonts w:ascii="Garamond" w:eastAsia="Times New Roman" w:hAnsi="Garamond"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3461211"/>
    <w:multiLevelType w:val="hybridMultilevel"/>
    <w:tmpl w:val="98AEEF0A"/>
    <w:lvl w:ilvl="0" w:tplc="2C0A0019">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7" w15:restartNumberingAfterBreak="0">
    <w:nsid w:val="44A36DC2"/>
    <w:multiLevelType w:val="hybridMultilevel"/>
    <w:tmpl w:val="82E8A3BC"/>
    <w:lvl w:ilvl="0" w:tplc="F062A59A">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4B1A653A"/>
    <w:multiLevelType w:val="hybridMultilevel"/>
    <w:tmpl w:val="908CE26C"/>
    <w:lvl w:ilvl="0" w:tplc="CDF23A9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09E0899"/>
    <w:multiLevelType w:val="hybridMultilevel"/>
    <w:tmpl w:val="08261C3A"/>
    <w:lvl w:ilvl="0" w:tplc="42868BB0">
      <w:start w:val="1"/>
      <w:numFmt w:val="lowerLetter"/>
      <w:lvlText w:val="%1)"/>
      <w:lvlJc w:val="left"/>
      <w:pPr>
        <w:ind w:left="708" w:hanging="360"/>
      </w:pPr>
      <w:rPr>
        <w:rFonts w:ascii="Times New Roman" w:eastAsia="Times New Roman" w:hAnsi="Times New Roman" w:cs="Times New Roman" w:hint="default"/>
        <w:spacing w:val="-1"/>
        <w:w w:val="99"/>
        <w:sz w:val="24"/>
        <w:szCs w:val="24"/>
        <w:lang w:val="es-ES" w:eastAsia="en-US" w:bidi="ar-SA"/>
      </w:rPr>
    </w:lvl>
    <w:lvl w:ilvl="1" w:tplc="88E2DBF8">
      <w:numFmt w:val="bullet"/>
      <w:lvlText w:val="•"/>
      <w:lvlJc w:val="left"/>
      <w:pPr>
        <w:ind w:left="1628" w:hanging="360"/>
      </w:pPr>
      <w:rPr>
        <w:rFonts w:hint="default"/>
        <w:lang w:val="es-ES" w:eastAsia="en-US" w:bidi="ar-SA"/>
      </w:rPr>
    </w:lvl>
    <w:lvl w:ilvl="2" w:tplc="343C5F90">
      <w:numFmt w:val="bullet"/>
      <w:lvlText w:val="•"/>
      <w:lvlJc w:val="left"/>
      <w:pPr>
        <w:ind w:left="2557" w:hanging="360"/>
      </w:pPr>
      <w:rPr>
        <w:rFonts w:hint="default"/>
        <w:lang w:val="es-ES" w:eastAsia="en-US" w:bidi="ar-SA"/>
      </w:rPr>
    </w:lvl>
    <w:lvl w:ilvl="3" w:tplc="7DC68242">
      <w:numFmt w:val="bullet"/>
      <w:lvlText w:val="•"/>
      <w:lvlJc w:val="left"/>
      <w:pPr>
        <w:ind w:left="3485" w:hanging="360"/>
      </w:pPr>
      <w:rPr>
        <w:rFonts w:hint="default"/>
        <w:lang w:val="es-ES" w:eastAsia="en-US" w:bidi="ar-SA"/>
      </w:rPr>
    </w:lvl>
    <w:lvl w:ilvl="4" w:tplc="9418C1C2">
      <w:numFmt w:val="bullet"/>
      <w:lvlText w:val="•"/>
      <w:lvlJc w:val="left"/>
      <w:pPr>
        <w:ind w:left="4414" w:hanging="360"/>
      </w:pPr>
      <w:rPr>
        <w:rFonts w:hint="default"/>
        <w:lang w:val="es-ES" w:eastAsia="en-US" w:bidi="ar-SA"/>
      </w:rPr>
    </w:lvl>
    <w:lvl w:ilvl="5" w:tplc="A8CC48B8">
      <w:numFmt w:val="bullet"/>
      <w:lvlText w:val="•"/>
      <w:lvlJc w:val="left"/>
      <w:pPr>
        <w:ind w:left="5343" w:hanging="360"/>
      </w:pPr>
      <w:rPr>
        <w:rFonts w:hint="default"/>
        <w:lang w:val="es-ES" w:eastAsia="en-US" w:bidi="ar-SA"/>
      </w:rPr>
    </w:lvl>
    <w:lvl w:ilvl="6" w:tplc="08FAC286">
      <w:numFmt w:val="bullet"/>
      <w:lvlText w:val="•"/>
      <w:lvlJc w:val="left"/>
      <w:pPr>
        <w:ind w:left="6271" w:hanging="360"/>
      </w:pPr>
      <w:rPr>
        <w:rFonts w:hint="default"/>
        <w:lang w:val="es-ES" w:eastAsia="en-US" w:bidi="ar-SA"/>
      </w:rPr>
    </w:lvl>
    <w:lvl w:ilvl="7" w:tplc="155CE6C0">
      <w:numFmt w:val="bullet"/>
      <w:lvlText w:val="•"/>
      <w:lvlJc w:val="left"/>
      <w:pPr>
        <w:ind w:left="7200" w:hanging="360"/>
      </w:pPr>
      <w:rPr>
        <w:rFonts w:hint="default"/>
        <w:lang w:val="es-ES" w:eastAsia="en-US" w:bidi="ar-SA"/>
      </w:rPr>
    </w:lvl>
    <w:lvl w:ilvl="8" w:tplc="FC54D0BA">
      <w:numFmt w:val="bullet"/>
      <w:lvlText w:val="•"/>
      <w:lvlJc w:val="left"/>
      <w:pPr>
        <w:ind w:left="8129" w:hanging="360"/>
      </w:pPr>
      <w:rPr>
        <w:rFonts w:hint="default"/>
        <w:lang w:val="es-ES" w:eastAsia="en-US" w:bidi="ar-SA"/>
      </w:rPr>
    </w:lvl>
  </w:abstractNum>
  <w:abstractNum w:abstractNumId="20" w15:restartNumberingAfterBreak="0">
    <w:nsid w:val="523D2201"/>
    <w:multiLevelType w:val="hybridMultilevel"/>
    <w:tmpl w:val="71AA01AC"/>
    <w:lvl w:ilvl="0" w:tplc="CDF23A94">
      <w:start w:val="1"/>
      <w:numFmt w:val="lowerRoman"/>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528A476E"/>
    <w:multiLevelType w:val="hybridMultilevel"/>
    <w:tmpl w:val="9746FB1E"/>
    <w:lvl w:ilvl="0" w:tplc="9CCEFD5C">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5D20F90"/>
    <w:multiLevelType w:val="hybridMultilevel"/>
    <w:tmpl w:val="973EBE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9026BCD"/>
    <w:multiLevelType w:val="hybridMultilevel"/>
    <w:tmpl w:val="E376CE12"/>
    <w:lvl w:ilvl="0" w:tplc="2C0A0019">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4" w15:restartNumberingAfterBreak="0">
    <w:nsid w:val="5B4C3220"/>
    <w:multiLevelType w:val="hybridMultilevel"/>
    <w:tmpl w:val="76B4712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BAC1D7F"/>
    <w:multiLevelType w:val="hybridMultilevel"/>
    <w:tmpl w:val="4C826478"/>
    <w:lvl w:ilvl="0" w:tplc="FD22856E">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15:restartNumberingAfterBreak="0">
    <w:nsid w:val="60100083"/>
    <w:multiLevelType w:val="hybridMultilevel"/>
    <w:tmpl w:val="270085F0"/>
    <w:lvl w:ilvl="0" w:tplc="9D00795C">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0D47E54"/>
    <w:multiLevelType w:val="hybridMultilevel"/>
    <w:tmpl w:val="9538F008"/>
    <w:lvl w:ilvl="0" w:tplc="CC8EFFB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DAB75B7"/>
    <w:multiLevelType w:val="multilevel"/>
    <w:tmpl w:val="2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34748E"/>
    <w:multiLevelType w:val="hybridMultilevel"/>
    <w:tmpl w:val="2918F69E"/>
    <w:lvl w:ilvl="0" w:tplc="F362C20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3792E12"/>
    <w:multiLevelType w:val="hybridMultilevel"/>
    <w:tmpl w:val="32682F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3AC5ACD"/>
    <w:multiLevelType w:val="hybridMultilevel"/>
    <w:tmpl w:val="190E9618"/>
    <w:lvl w:ilvl="0" w:tplc="0D723EFA">
      <w:start w:val="1"/>
      <w:numFmt w:val="lowerRoman"/>
      <w:lvlText w:val="%1."/>
      <w:lvlJc w:val="left"/>
      <w:pPr>
        <w:ind w:left="1440" w:hanging="720"/>
      </w:pPr>
      <w:rPr>
        <w:rFonts w:hint="default"/>
      </w:rPr>
    </w:lvl>
    <w:lvl w:ilvl="1" w:tplc="8AECF3CC">
      <w:start w:val="1"/>
      <w:numFmt w:val="lowerLetter"/>
      <w:lvlText w:val="%2."/>
      <w:lvlJc w:val="left"/>
      <w:pPr>
        <w:ind w:left="1800" w:hanging="360"/>
      </w:pPr>
      <w:rPr>
        <w:rFonts w:hint="default"/>
      </w:r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2" w15:restartNumberingAfterBreak="0">
    <w:nsid w:val="773D4080"/>
    <w:multiLevelType w:val="hybridMultilevel"/>
    <w:tmpl w:val="712039F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A3B79C0"/>
    <w:multiLevelType w:val="hybridMultilevel"/>
    <w:tmpl w:val="FC6C5116"/>
    <w:lvl w:ilvl="0" w:tplc="3EB290F2">
      <w:start w:val="1"/>
      <w:numFmt w:val="decimal"/>
      <w:lvlText w:val="%1."/>
      <w:lvlJc w:val="left"/>
      <w:pPr>
        <w:ind w:left="840" w:hanging="360"/>
      </w:pPr>
      <w:rPr>
        <w:rFonts w:ascii="Times New Roman" w:eastAsia="Times New Roman" w:hAnsi="Times New Roman" w:cs="Times New Roman" w:hint="default"/>
        <w:w w:val="100"/>
        <w:sz w:val="24"/>
        <w:szCs w:val="24"/>
        <w:lang w:val="es-ES" w:eastAsia="en-US" w:bidi="ar-SA"/>
      </w:rPr>
    </w:lvl>
    <w:lvl w:ilvl="1" w:tplc="405C7B7E">
      <w:numFmt w:val="bullet"/>
      <w:lvlText w:val="•"/>
      <w:lvlJc w:val="left"/>
      <w:pPr>
        <w:ind w:left="1754" w:hanging="360"/>
      </w:pPr>
      <w:rPr>
        <w:rFonts w:hint="default"/>
        <w:lang w:val="es-ES" w:eastAsia="en-US" w:bidi="ar-SA"/>
      </w:rPr>
    </w:lvl>
    <w:lvl w:ilvl="2" w:tplc="F7B8DC16">
      <w:numFmt w:val="bullet"/>
      <w:lvlText w:val="•"/>
      <w:lvlJc w:val="left"/>
      <w:pPr>
        <w:ind w:left="2669" w:hanging="360"/>
      </w:pPr>
      <w:rPr>
        <w:rFonts w:hint="default"/>
        <w:lang w:val="es-ES" w:eastAsia="en-US" w:bidi="ar-SA"/>
      </w:rPr>
    </w:lvl>
    <w:lvl w:ilvl="3" w:tplc="CAB62914">
      <w:numFmt w:val="bullet"/>
      <w:lvlText w:val="•"/>
      <w:lvlJc w:val="left"/>
      <w:pPr>
        <w:ind w:left="3583" w:hanging="360"/>
      </w:pPr>
      <w:rPr>
        <w:rFonts w:hint="default"/>
        <w:lang w:val="es-ES" w:eastAsia="en-US" w:bidi="ar-SA"/>
      </w:rPr>
    </w:lvl>
    <w:lvl w:ilvl="4" w:tplc="2DE861AA">
      <w:numFmt w:val="bullet"/>
      <w:lvlText w:val="•"/>
      <w:lvlJc w:val="left"/>
      <w:pPr>
        <w:ind w:left="4498" w:hanging="360"/>
      </w:pPr>
      <w:rPr>
        <w:rFonts w:hint="default"/>
        <w:lang w:val="es-ES" w:eastAsia="en-US" w:bidi="ar-SA"/>
      </w:rPr>
    </w:lvl>
    <w:lvl w:ilvl="5" w:tplc="22BCE52A">
      <w:numFmt w:val="bullet"/>
      <w:lvlText w:val="•"/>
      <w:lvlJc w:val="left"/>
      <w:pPr>
        <w:ind w:left="5413" w:hanging="360"/>
      </w:pPr>
      <w:rPr>
        <w:rFonts w:hint="default"/>
        <w:lang w:val="es-ES" w:eastAsia="en-US" w:bidi="ar-SA"/>
      </w:rPr>
    </w:lvl>
    <w:lvl w:ilvl="6" w:tplc="074AFB2C">
      <w:numFmt w:val="bullet"/>
      <w:lvlText w:val="•"/>
      <w:lvlJc w:val="left"/>
      <w:pPr>
        <w:ind w:left="6327" w:hanging="360"/>
      </w:pPr>
      <w:rPr>
        <w:rFonts w:hint="default"/>
        <w:lang w:val="es-ES" w:eastAsia="en-US" w:bidi="ar-SA"/>
      </w:rPr>
    </w:lvl>
    <w:lvl w:ilvl="7" w:tplc="55703F1A">
      <w:numFmt w:val="bullet"/>
      <w:lvlText w:val="•"/>
      <w:lvlJc w:val="left"/>
      <w:pPr>
        <w:ind w:left="7242" w:hanging="360"/>
      </w:pPr>
      <w:rPr>
        <w:rFonts w:hint="default"/>
        <w:lang w:val="es-ES" w:eastAsia="en-US" w:bidi="ar-SA"/>
      </w:rPr>
    </w:lvl>
    <w:lvl w:ilvl="8" w:tplc="1694A928">
      <w:numFmt w:val="bullet"/>
      <w:lvlText w:val="•"/>
      <w:lvlJc w:val="left"/>
      <w:pPr>
        <w:ind w:left="8157" w:hanging="360"/>
      </w:pPr>
      <w:rPr>
        <w:rFonts w:hint="default"/>
        <w:lang w:val="es-ES" w:eastAsia="en-US" w:bidi="ar-SA"/>
      </w:rPr>
    </w:lvl>
  </w:abstractNum>
  <w:num w:numId="1">
    <w:abstractNumId w:val="19"/>
  </w:num>
  <w:num w:numId="2">
    <w:abstractNumId w:val="33"/>
  </w:num>
  <w:num w:numId="3">
    <w:abstractNumId w:val="32"/>
  </w:num>
  <w:num w:numId="4">
    <w:abstractNumId w:val="24"/>
  </w:num>
  <w:num w:numId="5">
    <w:abstractNumId w:val="25"/>
  </w:num>
  <w:num w:numId="6">
    <w:abstractNumId w:val="31"/>
  </w:num>
  <w:num w:numId="7">
    <w:abstractNumId w:val="17"/>
  </w:num>
  <w:num w:numId="8">
    <w:abstractNumId w:val="14"/>
  </w:num>
  <w:num w:numId="9">
    <w:abstractNumId w:val="13"/>
  </w:num>
  <w:num w:numId="10">
    <w:abstractNumId w:val="0"/>
  </w:num>
  <w:num w:numId="11">
    <w:abstractNumId w:val="10"/>
  </w:num>
  <w:num w:numId="12">
    <w:abstractNumId w:val="16"/>
  </w:num>
  <w:num w:numId="13">
    <w:abstractNumId w:val="8"/>
  </w:num>
  <w:num w:numId="14">
    <w:abstractNumId w:val="12"/>
  </w:num>
  <w:num w:numId="15">
    <w:abstractNumId w:val="5"/>
  </w:num>
  <w:num w:numId="16">
    <w:abstractNumId w:val="23"/>
  </w:num>
  <w:num w:numId="17">
    <w:abstractNumId w:val="30"/>
  </w:num>
  <w:num w:numId="18">
    <w:abstractNumId w:val="3"/>
  </w:num>
  <w:num w:numId="19">
    <w:abstractNumId w:val="22"/>
  </w:num>
  <w:num w:numId="20">
    <w:abstractNumId w:val="28"/>
  </w:num>
  <w:num w:numId="21">
    <w:abstractNumId w:val="2"/>
  </w:num>
  <w:num w:numId="22">
    <w:abstractNumId w:val="18"/>
  </w:num>
  <w:num w:numId="23">
    <w:abstractNumId w:val="7"/>
  </w:num>
  <w:num w:numId="24">
    <w:abstractNumId w:val="6"/>
  </w:num>
  <w:num w:numId="25">
    <w:abstractNumId w:val="11"/>
  </w:num>
  <w:num w:numId="26">
    <w:abstractNumId w:val="15"/>
  </w:num>
  <w:num w:numId="27">
    <w:abstractNumId w:val="4"/>
  </w:num>
  <w:num w:numId="28">
    <w:abstractNumId w:val="29"/>
  </w:num>
  <w:num w:numId="29">
    <w:abstractNumId w:val="27"/>
  </w:num>
  <w:num w:numId="30">
    <w:abstractNumId w:val="26"/>
  </w:num>
  <w:num w:numId="31">
    <w:abstractNumId w:val="21"/>
  </w:num>
  <w:num w:numId="32">
    <w:abstractNumId w:val="9"/>
  </w:num>
  <w:num w:numId="33">
    <w:abstractNumId w:val="2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67"/>
    <w:rsid w:val="00097FE3"/>
    <w:rsid w:val="000D3868"/>
    <w:rsid w:val="00144284"/>
    <w:rsid w:val="00190D0F"/>
    <w:rsid w:val="001A149E"/>
    <w:rsid w:val="001F187F"/>
    <w:rsid w:val="00200C64"/>
    <w:rsid w:val="00207A91"/>
    <w:rsid w:val="00246F0B"/>
    <w:rsid w:val="0025452E"/>
    <w:rsid w:val="00266A73"/>
    <w:rsid w:val="002675FF"/>
    <w:rsid w:val="002779D6"/>
    <w:rsid w:val="003349A1"/>
    <w:rsid w:val="003C5EF5"/>
    <w:rsid w:val="003E3EC2"/>
    <w:rsid w:val="00402271"/>
    <w:rsid w:val="00456427"/>
    <w:rsid w:val="00493444"/>
    <w:rsid w:val="004D7A67"/>
    <w:rsid w:val="004E02FC"/>
    <w:rsid w:val="00602EEA"/>
    <w:rsid w:val="006629D9"/>
    <w:rsid w:val="006C7FBF"/>
    <w:rsid w:val="006E008D"/>
    <w:rsid w:val="006E1077"/>
    <w:rsid w:val="006F07AA"/>
    <w:rsid w:val="0070667A"/>
    <w:rsid w:val="00716FAA"/>
    <w:rsid w:val="0072720B"/>
    <w:rsid w:val="00734592"/>
    <w:rsid w:val="00776889"/>
    <w:rsid w:val="00785A50"/>
    <w:rsid w:val="00791211"/>
    <w:rsid w:val="007945E7"/>
    <w:rsid w:val="007D3040"/>
    <w:rsid w:val="007F7A1F"/>
    <w:rsid w:val="0085295C"/>
    <w:rsid w:val="0086036D"/>
    <w:rsid w:val="008D66D8"/>
    <w:rsid w:val="00943216"/>
    <w:rsid w:val="00994B05"/>
    <w:rsid w:val="00A11107"/>
    <w:rsid w:val="00A166BA"/>
    <w:rsid w:val="00B1508E"/>
    <w:rsid w:val="00B91156"/>
    <w:rsid w:val="00C13160"/>
    <w:rsid w:val="00CD6C3C"/>
    <w:rsid w:val="00D45DE9"/>
    <w:rsid w:val="00DE319A"/>
    <w:rsid w:val="00E15B5B"/>
    <w:rsid w:val="00E44787"/>
    <w:rsid w:val="00EA3DE9"/>
    <w:rsid w:val="00EE30D1"/>
    <w:rsid w:val="00F130C8"/>
    <w:rsid w:val="00F20188"/>
    <w:rsid w:val="00FE04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F57A8"/>
  <w15:docId w15:val="{8A810693-7E3C-4BB2-80E2-0487B6EB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20"/>
      <w:outlineLvl w:val="0"/>
    </w:pPr>
    <w:rPr>
      <w:b/>
      <w:bCs/>
      <w:sz w:val="24"/>
      <w:szCs w:val="24"/>
    </w:rPr>
  </w:style>
  <w:style w:type="paragraph" w:styleId="Ttulo2">
    <w:name w:val="heading 2"/>
    <w:basedOn w:val="Normal"/>
    <w:uiPriority w:val="9"/>
    <w:unhideWhenUsed/>
    <w:qFormat/>
    <w:pPr>
      <w:ind w:left="348"/>
      <w:outlineLvl w:val="1"/>
    </w:pPr>
    <w:rPr>
      <w:b/>
      <w:bCs/>
      <w:i/>
      <w:i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rPr>
      <w:sz w:val="24"/>
      <w:szCs w:val="24"/>
    </w:rPr>
  </w:style>
  <w:style w:type="paragraph" w:styleId="Prrafodelista">
    <w:name w:val="List Paragraph"/>
    <w:basedOn w:val="Normal"/>
    <w:uiPriority w:val="1"/>
    <w:qFormat/>
    <w:pPr>
      <w:ind w:left="708"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94B05"/>
    <w:pPr>
      <w:tabs>
        <w:tab w:val="center" w:pos="4513"/>
        <w:tab w:val="right" w:pos="9026"/>
      </w:tabs>
    </w:pPr>
  </w:style>
  <w:style w:type="character" w:customStyle="1" w:styleId="EncabezadoCar">
    <w:name w:val="Encabezado Car"/>
    <w:basedOn w:val="Fuentedeprrafopredeter"/>
    <w:link w:val="Encabezado"/>
    <w:uiPriority w:val="99"/>
    <w:rsid w:val="00994B05"/>
    <w:rPr>
      <w:rFonts w:ascii="Times New Roman" w:eastAsia="Times New Roman" w:hAnsi="Times New Roman" w:cs="Times New Roman"/>
      <w:lang w:val="es-ES"/>
    </w:rPr>
  </w:style>
  <w:style w:type="paragraph" w:styleId="Piedepgina">
    <w:name w:val="footer"/>
    <w:basedOn w:val="Normal"/>
    <w:link w:val="PiedepginaCar"/>
    <w:uiPriority w:val="99"/>
    <w:unhideWhenUsed/>
    <w:rsid w:val="00994B05"/>
    <w:pPr>
      <w:tabs>
        <w:tab w:val="center" w:pos="4513"/>
        <w:tab w:val="right" w:pos="9026"/>
      </w:tabs>
    </w:pPr>
  </w:style>
  <w:style w:type="character" w:customStyle="1" w:styleId="PiedepginaCar">
    <w:name w:val="Pie de página Car"/>
    <w:basedOn w:val="Fuentedeprrafopredeter"/>
    <w:link w:val="Piedepgina"/>
    <w:uiPriority w:val="99"/>
    <w:rsid w:val="00994B05"/>
    <w:rPr>
      <w:rFonts w:ascii="Times New Roman" w:eastAsia="Times New Roman" w:hAnsi="Times New Roman" w:cs="Times New Roman"/>
      <w:lang w:val="es-ES"/>
    </w:rPr>
  </w:style>
  <w:style w:type="paragraph" w:styleId="Puesto">
    <w:name w:val="Title"/>
    <w:basedOn w:val="Normal"/>
    <w:link w:val="PuestoCar"/>
    <w:qFormat/>
    <w:rsid w:val="00994B05"/>
    <w:pPr>
      <w:autoSpaceDE/>
      <w:autoSpaceDN/>
      <w:jc w:val="center"/>
    </w:pPr>
    <w:rPr>
      <w:b/>
      <w:snapToGrid w:val="0"/>
      <w:sz w:val="24"/>
      <w:szCs w:val="20"/>
      <w:u w:val="single"/>
      <w:lang w:eastAsia="es-ES"/>
    </w:rPr>
  </w:style>
  <w:style w:type="character" w:customStyle="1" w:styleId="PuestoCar">
    <w:name w:val="Puesto Car"/>
    <w:basedOn w:val="Fuentedeprrafopredeter"/>
    <w:link w:val="Puesto"/>
    <w:rsid w:val="00994B05"/>
    <w:rPr>
      <w:rFonts w:ascii="Times New Roman" w:eastAsia="Times New Roman" w:hAnsi="Times New Roman" w:cs="Times New Roman"/>
      <w:b/>
      <w:snapToGrid w:val="0"/>
      <w:sz w:val="24"/>
      <w:szCs w:val="20"/>
      <w:u w:val="single"/>
      <w:lang w:val="es-ES" w:eastAsia="es-ES"/>
    </w:rPr>
  </w:style>
  <w:style w:type="paragraph" w:styleId="Textonotapie">
    <w:name w:val="footnote text"/>
    <w:basedOn w:val="Normal"/>
    <w:link w:val="TextonotapieCar"/>
    <w:uiPriority w:val="99"/>
    <w:rsid w:val="00994B05"/>
    <w:rPr>
      <w:rFonts w:ascii="Arial MT" w:hAnsi="Arial MT" w:cs="Arial MT"/>
      <w:sz w:val="20"/>
      <w:szCs w:val="20"/>
    </w:rPr>
  </w:style>
  <w:style w:type="character" w:customStyle="1" w:styleId="TextonotapieCar">
    <w:name w:val="Texto nota pie Car"/>
    <w:basedOn w:val="Fuentedeprrafopredeter"/>
    <w:link w:val="Textonotapie"/>
    <w:uiPriority w:val="99"/>
    <w:rsid w:val="00994B05"/>
    <w:rPr>
      <w:rFonts w:ascii="Arial MT" w:eastAsia="Times New Roman" w:hAnsi="Arial MT" w:cs="Arial MT"/>
      <w:sz w:val="20"/>
      <w:szCs w:val="20"/>
      <w:lang w:val="es-ES"/>
    </w:rPr>
  </w:style>
  <w:style w:type="character" w:styleId="Refdenotaalpie">
    <w:name w:val="footnote reference"/>
    <w:uiPriority w:val="99"/>
    <w:rsid w:val="00994B05"/>
    <w:rPr>
      <w:vertAlign w:val="superscript"/>
    </w:rPr>
  </w:style>
  <w:style w:type="paragraph" w:styleId="Textodeglobo">
    <w:name w:val="Balloon Text"/>
    <w:basedOn w:val="Normal"/>
    <w:link w:val="TextodegloboCar"/>
    <w:uiPriority w:val="99"/>
    <w:semiHidden/>
    <w:unhideWhenUsed/>
    <w:rsid w:val="001442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284"/>
    <w:rPr>
      <w:rFonts w:ascii="Segoe UI" w:eastAsia="Times New Roman" w:hAnsi="Segoe UI" w:cs="Segoe UI"/>
      <w:sz w:val="18"/>
      <w:szCs w:val="18"/>
      <w:lang w:val="es-ES"/>
    </w:rPr>
  </w:style>
  <w:style w:type="table" w:styleId="Tablaconcuadrcula">
    <w:name w:val="Table Grid"/>
    <w:basedOn w:val="Tablanormal"/>
    <w:uiPriority w:val="39"/>
    <w:rsid w:val="008D6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9558-ABB2-41E0-95AC-E799AEFD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3889</Words>
  <Characters>21395</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eduardoast@yahoo.com.ar</dc:creator>
  <cp:lastModifiedBy>Damian Nardacchione</cp:lastModifiedBy>
  <cp:revision>2</cp:revision>
  <cp:lastPrinted>2022-08-01T15:30:00Z</cp:lastPrinted>
  <dcterms:created xsi:type="dcterms:W3CDTF">2024-03-11T18:19:00Z</dcterms:created>
  <dcterms:modified xsi:type="dcterms:W3CDTF">2024-03-11T18:19:00Z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2021</vt:lpwstr>
  </property>
  <property fmtid="{D5CDD505-2E9C-101B-9397-08002B2CF9AE}" pid="4" name="LastSaved">
    <vt:filetime>2022-07-29T00:00:00Z</vt:filetime>
  </property>
</Properties>
</file>